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183/2008 vom 18. März 2009</w:t>
      </w:r>
    </w:p>
    <w:p>
      <w:r>
        <w:t>Bundesgericht, 2009-03-18, FR</w:t>
      </w:r>
    </w:p>
    <w:p>
      <w:r>
        <w:rPr>
          <w:b/>
        </w:rPr>
        <w:t xml:space="preserve">Quelle: </w:t>
      </w:r>
      <w:r>
        <w:t>https://mcp.opencaselaw.ch/entscheid/bger_9C_183_2008</w:t>
      </w:r>
    </w:p>
    <w:p>
      <w:r>
        <w:t>FR: TF 9C 183/2008 du 18 mars 2009</w:t>
      </w:r>
    </w:p>
    <w:p>
      <w:r>
        <w:t>IT: TF 9C 183/2008 del 18 marzo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2</w:t>
      </w:r>
    </w:p>
    <w:p>
      <w:r>
        <w:t>Sur le plan formel, la recourante fait grief à l'autorité cantonale d'avoir commis un déni de justice en rendant l'arrêt querellé sans exiger que l'intimé n'ait préalablement procédé aux actes d'instruction exigés par l'arrêt du 5 septembre 2006, en particulier quant à la détermination des activités encore exigibles de la part de la recourante.</w:t>
      </w:r>
    </w:p>
    <w:p>
      <w:r>
        <w:rPr>
          <w:b/>
        </w:rPr>
        <w:t>E. 2.1</w:t>
      </w:r>
    </w:p>
    <w:p>
      <w:r>
        <w:t>Commet un déni de justice formel, l'autorité qui ne statue pas ou n'entre pas en matière sur un recours ou un grief qui lui est soumis, alors qu'elle devrait le faire ( ATF 128 II 139 consid. 2a p. 142 et les arrêts cités).</w:t>
      </w:r>
    </w:p>
    <w:p>
      <w:r>
        <w:rPr>
          <w:b/>
        </w:rPr>
        <w:t>E. 2.2</w:t>
      </w:r>
    </w:p>
    <w:p>
      <w:r>
        <w:t>L'arrêt attaqué n'omet pas de statuer sur le grief de la recourante, ni ne refuse d'entrer en matière sur ce grief (cf. consid. 8 du jugement attaqué). De fait, le grief de la recourante revient en réalité à critiquer l'appréciation des preuves faite par la juridiction cantonale. Par son arrêt du 5 septembre 2006, le Tribunal cantonal a annulé la décision sur opposition du 4 mai 2006, par laquelle l'intimé avait refusé d'octroyer une rente d'invalidité à la recourante et renvoyé la cause à l'administration "pour instruction et nouvelle décision au sens des considérants". Dans ses considérants, la juridiction cantonale a indiqué ignorer quelles activités étaient adaptées aux troubles de la recourante et quel avait été le revenu d'invalide retenu. Il n'a cependant pas précisé en quoi devait consister l'instruction complémentaire. Se conformant aux instructions données par l'autorité cantonale, l'office AI a interpellé à nouveau son service de la réadaptation professionnelle. Celui-ci a indiqué qu'une évaluation n'avait pas pu être faite car l'assurée ne s'était pas montrée motivée ou intéressée à suivre une mesure d'orientation professionnelle. Il a toutefois conclu que sur une base médico-théorique, une activité à 50% en tant que téléphoniste, réceptionniste ou contrôleuse de qualité dans l'industrie légère serait possible. La recourante ne conteste pas le fait qu'elle n'était pas disposée à suivre un stage d'observation professionnelle. Elle doit donc se laisser opposer le résultat de l'appréciation des preuves menée par la juridiction cantonale en l'état du dossier.</w:t>
      </w:r>
    </w:p>
    <w:p>
      <w:r>
        <w:rPr>
          <w:b/>
        </w:rPr>
        <w:t>E. 3</w:t>
      </w:r>
    </w:p>
    <w:p>
      <w:r>
        <w:t>La recourante reproche encore à la juridiction cantonale d'avoir violé son droit d'être entendue en ne précisant pas les motifs qui l'ont conduite à se fonder sur l'enquête ménagère telle qu'établie par l'enquêtrice dans son rapport et lors de son audition, alors que la recourante en avait contesté certains aspects dans sa détermination finale du 20 décembre 2007 à laquelle l'arrêt cantonal ne fait même pas référence. Ce grief n'a pas besoin d'être examiné plus avant dans la mesure où le jugement attaqué doit être annulé sur ce point (consid. 6).</w:t>
      </w:r>
    </w:p>
    <w:p>
      <w:r>
        <w:rPr>
          <w:b/>
        </w:rPr>
        <w:t>E. 4</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En ce qui concerne plus particulièrement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393 consid. 3.2 p. 398 s. et les arrêts cités p. 399).</w:t>
      </w:r>
    </w:p>
    <w:p>
      <w:r>
        <w:rPr>
          <w:b/>
        </w:rPr>
        <w:t>E. 5.1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223 consid. 2b et les références; cf. aussi ATF 127 V 294 consid. 4c p. 298).</w:t>
      </w:r>
    </w:p>
    <w:p>
      <w:r>
        <w:rPr>
          <w:b/>
        </w:rPr>
        <w:t>E. 5.2</w:t>
      </w:r>
    </w:p>
    <w:p>
      <w:r>
        <w:t>Dans les cas de troubles somatoformes douloureux, il existe une présomption selon laquelle cette atteinte à la santé ou ses effets peuvent être surmontés par un effort de volonté raisonnablement exigible. La jurisprudence a étendu cette présomption notamment au diagnostic de fibromyalgie ( ATF 132 V 65 consid. 4.2.1 p. 71).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ATF 130 V 352 consid. 3.3.1 in fine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4.2.2 p. 71).</w:t>
      </w:r>
    </w:p>
    <w:p>
      <w:r>
        <w:rPr>
          <w:b/>
        </w:rPr>
        <w:t>E. 5.3</w:t>
      </w:r>
    </w:p>
    <w:p>
      <w:r>
        <w:t>Les juges cantonaux ont admis l'existence d'atteintes somatiques excluant toute activité de la recourante en qualité de cuisinière. En revanche, ces affections permettaient l'exercice à 50% d'une activité adaptée. Ils ont également admis que la recourante souffrait de fibromyalgie.</w:t>
      </w:r>
    </w:p>
    <w:p>
      <w:r>
        <w:rPr>
          <w:b/>
        </w:rPr>
        <w:t>E. 5.4</w:t>
      </w:r>
    </w:p>
    <w:p>
      <w:r>
        <w:t>Il y a lieu de déterminer, à la lumière des critères dégagés par la jurisprudence et des faits retenus par la juridiction cantonale, si la recourante était en mesure de fournir, au moment de la décision litigieuse, l'effort de volonté raisonnablement exigible en vue de surmonter les effets de ses douleurs. L'autorité cantonale a nié l'existence d'une comorbidité psychiatrique et a considéré l'état anxio-dépressif diagnostiqué par le docteur E.________ comme une manifestation réactive à la fibromyalgie. La recourante a estimé qu'il y avait lieu de retenir une comorbidité psychiatrique en raison des atteintes somatiques objectives et invalidantes, d'une résistance des affections aux traitements et d'une composante anxieuse très marquée. Pour cela, elle s'appuie sur les avis du docteur E.________, qui a diagnostiqué un état anxio-dépressif, et de la doctoresse L.________, qui a relevé la présence d'un état dépressif moyen à composante anxieuse très marquée occasionnant une fatigabilité importante, un trouble de la concentration, une labilité de l'humeur et une hypersensibilité aux critiques pouvant poser des problèmes au niveau des contacts interpersonnels. Ces éléments médicaux, par ailleurs pris en compte par l'autorité cantonale, ne permettent pas de conclure à l'existence d'une comorbidité psychiatrique importante par sa gravité, son acuité et sa durée au sens de la jurisprudence. En effet, il ressort de l'historique de la maladie de la recourante que les troubles psychiques sont postérieurs aux douleurs et sont liés à celles-ci. De plus, aucun élément médical ne permet d'établir qu'une pathologie psychique soit présente chez la recourante de façon telle que celle-ci ne puisse plus exercer aucune activité adaptée. L'autorité cantonale a nié que les autres critères retenus pour admettre le caractère invalidant de la fibromyalgie fussent donnés. Si elle a admis l'existence d'affections corporelles chroniques, elle a nié une perte d'intégration sociale, un état psychique cristallisé et l'échec des traitements conformes aux règles de l'art. L'existence d'affections corporelles chroniques est de nature à limiter les activités physiques et ont été prises en compte par une incapacité de travail à 50%. Par contre, rien au dossier n'indique que ces affections sont à l'origine d'un état dépressif tel qu'il annihile tout effort de volonté raisonnablement exigible. De plus, comme l'a retenu l'autorité cantonale, l'assurée n'a pas subi de pertes d'intégration sociale dans toutes les manifestations de sa vie et elle bénéficie d'une vie familiale plutôt harmonieuse. Enfin, contrairement à ce qu'allègue la recourante, rien ne permet de constater que son état psychique est cristallisé et que les traitements ont échoué. En effet, le docteur G.________ envisage un changement de médication dont il pense qu'il peut améliorer les symptômes. De plus, la doctoresse L.________ se borne à préciser que les traitements introduits sont restés sans effet jusqu'au jour de l'expertise, toutefois sans contrôle de la compliance. D'un point de vue juridique, ces éléments ne permettent pas de retenir que le syndrome de fibromyalgie se manifestait, au moment de la décision attaquée, avec une sévérité telle qu'objectivement, la recourante ne pouvait pas mettre en valeur sa capacité résiduelle de travail. Les autres paramètres du calcul de l'invalidité n'étant pas contestés, il y a lieu d'admettre, à l'instar de l'autorité cantonale, que le taux d'invalidité dans l'activité professionnelle est de 47%. Le recours doit donc être rejeté sur ce point.</w:t>
      </w:r>
    </w:p>
    <w:p>
      <w:r>
        <w:rPr>
          <w:b/>
        </w:rPr>
        <w:t>E. 6.1</w:t>
      </w:r>
    </w:p>
    <w:p>
      <w:r>
        <w:t>En ce qui concerne l'incapacité d'accomplir les travaux habituels, l'enquête ménagère effectuée au domicile de l'assuré selon les critères posés par l'OFAS (ch. 3090 ss de la Circulaire concernant l'invalidité et l'impotence de l'assurance-invalidité, CIIAI, en vigueur jusqu'au 31 décembre 2007)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w:t>
      </w:r>
    </w:p>
    <w:p>
      <w:r>
        <w:rPr>
          <w:b/>
        </w:rPr>
        <w:t>E. 6.2</w:t>
      </w:r>
    </w:p>
    <w:p>
      <w:r>
        <w:t>Il ressort de la motivation sommaire de l'autorité cantonale que celle-ci s'est fondée sur l'enquête ménagère. L'autorité cantonale a confirmé la pondération retenue pour tous les postes à l'exception du poste «divers» pour lequel elle a admis 10% au lieu des 5% fixés dans l'enquête. Cette modification est intervenue suite à l'audition de l'enquêtrice. Ainsi, le degré d'empêchement ménager est passé de 29% à 33%.</w:t>
      </w:r>
    </w:p>
    <w:p>
      <w:r>
        <w:rPr>
          <w:b/>
        </w:rPr>
        <w:t>E. 6.3</w:t>
      </w:r>
    </w:p>
    <w:p>
      <w:r>
        <w:t>La recourante considère que l'autorité cantonale a retenu de façon arbitraire que le taux d'invalidité ménagère global était de 50% alors qu'elle ne peut plus exécuter les tâches lourdes et ne peut que partiellement remplir les tâches légères. La recourante reproche encore à l'autorité cantonale d'avoir retenu, d'une manière qui choque le sentiment de la justice et de l'équité, une participation du mari aux tâches ménagères variant entre 10 et 30% selon le type d'activités, alors que celui-ci est absent près de douze heures par jour pour raisons professionnelles. Enfin, la recourante allègue que le mode de calcul du taux de participation du mari pratiqué par l'enquêtrice est fondamentalement erroné et manifestement arbitraire car il doit être rapporté à 100%, ce qui donne un taux d'occupation du mari aux tâches ménagères de 60%.</w:t>
      </w:r>
    </w:p>
    <w:p>
      <w:r>
        <w:rPr>
          <w:b/>
        </w:rPr>
        <w:t>E. 6.4.1</w:t>
      </w:r>
    </w:p>
    <w:p>
      <w:r>
        <w:t>S'agissant d'apprécier le taux global d'invalidité ménagère, l'argumentation de la recourante est basée sur un calcul dépourvu de fondements, qui ne permet en aucun cas d'admettre que le taux d'invalidité ménagère retenu par les juges cantonaux de façon à lier l'autorité de céans, serait manifestement erroné. En effet, il correspond également au taux d'incapacité de travail médicalement établi.</w:t>
      </w:r>
    </w:p>
    <w:p>
      <w:r>
        <w:rPr>
          <w:b/>
        </w:rPr>
        <w:t>E. 6.4.2</w:t>
      </w:r>
    </w:p>
    <w:p>
      <w:r>
        <w:t>L'autorité cantonale s'est fondée implicitement sur l'enquête ménagère et sur l'audition de l'enquêtrice pour déterminer le taux de participation du mari. En l'absence de motivation explicite, il n'est pas possible de connaître avec précision tous les travaux ménagers mis à la charge du mari et donc de déterminer s'ils doivent être considérés comme admissibles pour lui compte tenu de la situation professionnelle et familiale. De plus, les juges cantonaux ont fait passer la pondération du champ d'activité «divers» (point 6.7) de 5 à 10% apparemment sans réduire un ou plusieurs autres postes. On arrive ainsi à un taux d'activité total de 105%, ce qui n'est pas admissible. Il n'est dès lors pas possible de se déterminer sur les critiques formulées par la recourante. L'affaire doit donc être renvoyée à l'autorité cantonale qui devra fixer avec précision le taux d'invalidité ménagère, au besoin avec la collaboration de l'enquêtrice ménagère. Il s'agira notamment de déterminer le nombre d'heures pendant lesquelles le mari de la recourante est absent du domicile pour des raisons professionnelles uniquement et de quantifier le temps dévolu aux activités ménagères mises à sa charge au titre de l'aide exigible, en tenant compte des seuls empêchements de la recourante découlant d'une atteinte à la santé incapacitante.</w:t>
      </w:r>
    </w:p>
    <w:p>
      <w:r>
        <w:rPr>
          <w:b/>
        </w:rPr>
        <w:t>E. 7</w:t>
      </w:r>
    </w:p>
    <w:p>
      <w:r>
        <w:t>Le recours est admis et le dossier retourné aux premiers juges pour nouveau jugement et éventuels compléments d'instruction.</w:t>
      </w:r>
    </w:p>
    <w:p>
      <w:r>
        <w:rPr>
          <w:b/>
        </w:rPr>
        <w:t>E. 8</w:t>
      </w:r>
    </w:p>
    <w:p>
      <w:r>
        <w:t>Compte tenu de l'issue du litige, les frais judiciaires doivent être supportés par l'intimé qui succombe ( art. 66 al. 1 LTF ). La recourante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