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181/2017 vom 6. Juni 2017</w:t>
      </w:r>
    </w:p>
    <w:p>
      <w:r>
        <w:t>Bundesgericht, 2017-06-06, DE</w:t>
      </w:r>
    </w:p>
    <w:p>
      <w:r>
        <w:rPr>
          <w:b/>
        </w:rPr>
        <w:t xml:space="preserve">Quelle: </w:t>
      </w:r>
      <w:r>
        <w:t>https://mcp.opencaselaw.ch/entscheid/bger_9C_181_2017</w:t>
      </w:r>
    </w:p>
    <w:p>
      <w:r>
        <w:t>FR: TF 9C 181/2017 du 6 juin 2017</w:t>
      </w:r>
    </w:p>
    <w:p>
      <w:r>
        <w:t>IT: TF 9C 181/2017 del 6 giugno 2017</w:t>
      </w:r>
    </w:p>
    <w:p>
      <w:pPr>
        <w:pStyle w:val="Heading2"/>
      </w:pPr>
      <w:r>
        <w:t>Regeste</w:t>
      </w:r>
    </w:p>
    <w:p>
      <w:r>
        <w:t>Invalidenversicherung | Invalidenversicherung</w:t>
      </w:r>
    </w:p>
    <w:p>
      <w:pPr>
        <w:pStyle w:val="Heading2"/>
      </w:pPr>
      <w:r>
        <w:t>Erwägungen</w:t>
      </w:r>
    </w:p>
    <w:p>
      <w:r>
        <w:rPr>
          <w:b/>
        </w:rPr>
        <w:t>E. 1</w:t>
      </w:r>
    </w:p>
    <w:p>
      <w:r>
        <w:t>Mit der Beschwerde in öffentlich-rechtlichen Angelegenheiten kann u.a. die Verletzung von Bundesrecht gerügt werden ( Art. 95 lit. a BGG ). Die Feststellung des Sachverhalts kann nur gerügt werden, wenn sie offensichtlich unrichtig ist oder auf einer Rechtsverletzung im Sinne von Art. 95 BGG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BGG beruht ( Art. 105 Abs. 2 BGG ).</w:t>
      </w:r>
    </w:p>
    <w:p>
      <w:r>
        <w:rPr>
          <w:b/>
        </w:rPr>
        <w:t>E. 2</w:t>
      </w:r>
    </w:p>
    <w:p>
      <w:r>
        <w:t>Das kantonale Gericht hat die gesetzlichen Bestimmungen über den Rentenanspruch von in Ausbildung stehenden Kindern ( Art. 35 Abs. 1 IVG ), den Begriff der Ausbildung an sich und deren Beendigung bzw. Unterbrechung ( Art. 49bis und 49ter AHVV ) zutreffend dargelegt. Ebenso korrekt sind die Ausführungen zur Rückerstattung unrechtmässig bezogener Leistungen ( Art. 25 Abs. 1 Satz 1 ATSG ). Richtig wiedergegeben hat die Vorinstanz sodann die Voraussetzungen, die für den Erlass der Rückerstattung unrechtmässig bezogener Leistungen erfüllt sein müssen (vgl. Art. 25 Abs. 1 Satz 2 ATSG ), nämlich zum guten Glauben (Urteil 8C_243/2016 vom 7. Juli 2016 E. 4 mit Hinweisen) und zum Vorliegen einer grossen Härte ( Art. 5 Abs. 1 ATSV in Verbindung mit Art. 4 ELG ). Darauf wird verwiesen.</w:t>
      </w:r>
    </w:p>
    <w:p>
      <w:r>
        <w:rPr>
          <w:b/>
        </w:rPr>
        <w:t>E. 3</w:t>
      </w:r>
    </w:p>
    <w:p>
      <w:r>
        <w:t>Streitig und zu prüfen ist einzig, ob die Beschwerdegegnerin gemäss Art. 25 Abs. 1 Satz 2 ATSG gutgläubig war.</w:t>
      </w:r>
    </w:p>
    <w:p>
      <w:r>
        <w:rPr>
          <w:b/>
        </w:rPr>
        <w:t>E. 3.1</w:t>
      </w:r>
    </w:p>
    <w:p>
      <w:r>
        <w:t>Das kantonale Gericht hat erwogen, die Beschwerdegegnerin habe schlüssig dargetan, dass sie vom Rechtsdienst des Mittelschul- und Berufsbildungsamtes des Kantons Zürich die Auskunft erhalten habe, ihr Sohn D.________ dürfe die Berufsschule für Gestaltung auch ohne Lehrvertrag weiterhin drei Monate besuchen, ohne dass die Lehre während dieser Zeit als abgebrochen gelte. Damit sei nachvollziehbar, dass diese Information die Beschwerdegegnerin in der Annahme bestärkt habe, es bestehe nach wie vor Anspruch auf eine Kinderrente. Hinzu komme, dass die Zeitspanne zwischen der vorzeitigen Auflösung des alten und der Begründung des neuen Lehrverhältnisses rechtsprechungsgemäss nicht als rechtserhebliche Unterbrechung der Ausbildung gelte, wenn die Suche nach einer neuen Lehrstelle unverzüglich an die Hand genommen werde. Dass die Beschwerdegegnerin der IV-Stelle die Auflösung des Lehrvertrags nicht gemeldet bzw. sich bei ihr nicht über deren Auswirkungen informiert habe, sei unter diesen Umständen nicht als grobe Nachlässigkeit anzusehen. Da bloss leichte Fahrlässigkeit vorliege, sei die Voraussetzung des guten Glaubens erfüllt.</w:t>
      </w:r>
    </w:p>
    <w:p>
      <w:r>
        <w:rPr>
          <w:b/>
        </w:rPr>
        <w:t>E. 3.2</w:t>
      </w:r>
    </w:p>
    <w:p>
      <w:r>
        <w:t>Die Frage nach der gebotenen Aufmerksamkeit gilt als frei überprüfbare Rechtsfrage, soweit es darum geht festzustellen, ob sich jemand angesichts der jeweiligen tatsächlichen Verhältnisse auf den guten Glauben berufen kann ( BGE 122 V 221 E. 3 S. 223; ARV 2015 S. 338, 8C_534/2015 E. 3.2).</w:t>
      </w:r>
    </w:p>
    <w:p>
      <w:r>
        <w:rPr>
          <w:b/>
        </w:rPr>
        <w:t>E. 4.1</w:t>
      </w:r>
    </w:p>
    <w:p>
      <w:r>
        <w:t>Die Beschwerdegegnerin stellt sich in ihrer Vernehmlassung erneut auf den Standpunkt, sie habe sich in gutem Glauben auf die Auskunft des Rechtsdienstes des kantonalen Mittelschul- und Berufsbildungsamtes verlassen dürfen. Dem steht jedoch Folgendes entgegen: Hatte die Anfrage der Beschwerdegegnerin lediglich den Zweck, sich zu erkundigen, ob ihr Sohn D.________ trotz Lehrabbruch Mitte März 2014 bis auf weiteres die Gewerbeschule besuchen durfte, liegt zum vorneherein keine meldepflichtrechtlich relevante - entlastende - Handlung vor. Erfolgte die Anfrage beim Mittelschul- und Berufsbildungsamt hingegen auch mit Blick auf die laufende Kinderrente, so hegte die Beschwerdegegnerin selber Zweifel an der Rechtmässigkeit der weiteren Auszahlung. So oder anders hätte sie sich daher zwingend bei derjenigen Verwaltungsstelle, von welcher sie jeden Monat die Rente überwiesen erhielt, erkundigen müssen, was sie unstreitig zu keinem Zeitpunkt getan hat. Inwieweit eine solche Nachfrage aufgrund persönlicher Umstände (Urteilsfähigkeit, Gesundheitszustand, Bildungsgrad usw.) nicht zumutbar gewesen sein sollte (vgl. dazu Urteil 9C_286/2010 vom 8. Juni 2010 E. 2 mit Hinweisen), ist nicht ersichtlich. Damit ist eine grobe Nachlässigkeit zu bejahen. Die kurze Dauer des Ausbildungsunterbruches, worauf das kantonale Gericht weiter Bezug nimmt, ändert nichts, liegt doch darin kein relevanter Aspekt für die Erlassvoraussetzung des guten Glaubens: Vielmehr betrifft dieser Punkt einzig die Rechtmässigkeit der rückwirkenden Rentenaufhebung ab April 2014, was in einem allfälligen Verfahren gegen die Rückerstattungsverfügung vom 13. August 2014 hätte thematisiert werden können. Dies ist indes nicht geschehen, sondern die fragliche Verfügung erwuchs unangefochten in Rechtskraft; deren Rechtmässigkeit ist im Erlassverfahren nicht zu prüfen.</w:t>
      </w:r>
    </w:p>
    <w:p>
      <w:r>
        <w:rPr>
          <w:b/>
        </w:rPr>
        <w:t>E. 4.2</w:t>
      </w:r>
    </w:p>
    <w:p>
      <w:r>
        <w:t>Soweit sich das kantonale Gericht schliesslich auf Art. 88bis Abs. 2 IVV beruft und die Rückforderung von einer Meldepflichtverletzung abhängig machen will, kann auf das soeben Ausgeführte verwiesen werden.</w:t>
      </w:r>
    </w:p>
    <w:p>
      <w:r>
        <w:rPr>
          <w:b/>
        </w:rPr>
        <w:t>E. 5</w:t>
      </w:r>
    </w:p>
    <w:p>
      <w:r>
        <w:t>Zusammengefasst fehlt es am guten Glauben der Beschwerdegegnerin. Da die Erlassvoraussetzungen (vgl. Art. 25 Abs. 1 Satz 2 ATSG ) kumulativ erfüllt sein müssen, kann dahingestellt bleiben, ob eine grosse Härte vorliegt. Nach dem Gesagten hat die Vorinstanz Bundesrecht verletzt (vgl. E. 1). Die Beschwerde ist begründet.</w:t>
      </w:r>
    </w:p>
    <w:p>
      <w:r>
        <w:rPr>
          <w:b/>
        </w:rPr>
        <w:t>E. 6</w:t>
      </w:r>
    </w:p>
    <w:p>
      <w:r>
        <w:t>Auf die Erhebung von Gerichtskosten wird umständehalber verzichtet ( Art. 66 Abs. 1 Satz 2 BGG ). Das von der unterliegenden Beschwerdegegnerin für das Verfahren vor Bundesgericht gestellte Gesuch um unentgeltliche Rechtspflege ist insoweit gegenstandslos. Eine Entschädigung unter dem Titel der unentgeltlichen Verbeiständung scheidet aus, da die Versicherte nicht durch eine Rechtsanwältin vertreten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