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181/2007 vom 22. Januar 2008</w:t>
      </w:r>
    </w:p>
    <w:p>
      <w:r>
        <w:t>Bundesgericht, 2008-01-22, FR</w:t>
      </w:r>
    </w:p>
    <w:p>
      <w:r>
        <w:rPr>
          <w:b/>
        </w:rPr>
        <w:t xml:space="preserve">Quelle: </w:t>
      </w:r>
      <w:r>
        <w:t>https://mcp.opencaselaw.ch/entscheid/bger_9C_181_2007</w:t>
      </w:r>
    </w:p>
    <w:p>
      <w:r>
        <w:t>FR: TF 9C 181/2007 du 22 janvier 2008</w:t>
      </w:r>
    </w:p>
    <w:p>
      <w:r>
        <w:t>IT: TF 9C 181/2007 del 22 gennaio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et de l'assurance militaire;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 jugement entrepris expose correctement les règles légales et la jurisprudence sur la notion d'invalidité ( art. 7 et 8 LPGA ) - en particulier en présence de troubles somatoformes douloureux -, son évaluation et le degré de cette dernière ouvrant le droit à une rente ( art. 16 LPGA et art. 28 LAI ), la tâche du médecin dans le cadre de l'évaluation de l'invalidité ( ATF 125 V 261 consid. 4, 115 V 134 consid. 2, 114 V 314 consid. 3c, 105 V 158 consid. 1), le principe de la libre appréciation des preuves et du devoir qui en découle de procéder à une appréciation complète, rigoureuse et objective des rapports médicaux, en relation avec leur contenu et la nécessité d'indiquer les raisons pour lesquelles l'administration ou le juge se fonde sur une opinion médicale plutôt qu'une autre ( ATF 132 V 393 consid. 4.1 et les références) et enfin, la valeur probante d'une expertise médicale ( ATF 122 V 160 s. consid. 1c et les références). Il suffit d'y renvoyer.</w:t>
      </w:r>
    </w:p>
    <w:p>
      <w:r>
        <w:rPr>
          <w:b/>
        </w:rPr>
        <w:t>E. 3.1</w:t>
      </w:r>
    </w:p>
    <w:p>
      <w:r>
        <w:t>Les premiers juges ont retenu, de manière à lier la Cour de céans, qu'au vu des diagnostics retenus dans l'expertise pluridisciplinaire du Centre d'expertise médicale Z.________ du 27 janvier 2006 (trouble somatoforme douloureux, gonarthrose gauche fémoro-tibiale et probable pathologie de la coiffe des rotateurs de l'épaule droite), le recourant n'était plus en mesure d'exercer son ancienne activité de chapeur mais que dans une activité adaptée (sans position agenouillée ni de montée ou descente des escaliers ou d'échelles, avec limitation des ports de charges, alternance des positions, limitation des mouvements d'antéflexion du tronc, et sans marche prolongée), il disposait d'une capacité résiduelle de travail de 100 %. Dans la mesure où le recourant reproche à la juridiction cantonale d'avoir suivi l'avis des médecins du Centre d'expertise médicale Z.________ et non ceux des docteurs K.________ et B.________ qui concluaient à une incapacité de travail de 2/3 au moins, il se plaint d'une violation de la libre appréciation des preuves et du devoir qui en découle de procéder à une appréciation complète, rigoureuse et objective des rapports médicaux, en relation avec leur contenu. Ce grief - lequel constitue une violation du droit - est infondé. En effet, la juridiction cantonale a exposé clairement et de manière convaincante pourquoi elle ne s'est pas fondée sur l'avis des docteurs K.________ et B.________ invoqués par le recourant. Par ailleurs, il y a lieu d'ajouter qu'au vu de la divergence consacrée par la jurisprudence entre un mandat de soins et un mandat d'expertise (cf. arrêt I 701/05 du 5 janvier 2007, consid. 2 et les nombreux arrêts cités, dont en particulier l' 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Centre d'expertise médicale Z.________ et qu'ils ont conclu que le recourant pouvait encore exercer une activité adaptée à plein temps.</w:t>
      </w:r>
    </w:p>
    <w:p>
      <w:r>
        <w:rPr>
          <w:b/>
        </w:rPr>
        <w:t>E. 3.2</w:t>
      </w:r>
    </w:p>
    <w:p>
      <w:r>
        <w:t>Examinant ensuite les revenus sans et avec invalidité fixés par l'intimé, la juridiction cantonale les a confirmés. Dans la mesure où le recourant conteste le revenu d'invalide déterminé sur la base d'une appréciation concrète des preuves, il s'agit d'une question de fait que le Tribunal fédéral revoit avec un pouvoir d'examen restreint ( ATF 132 V 393 consid. 3.3 p. 399). Or, là non plus il n'y a pas lieu de remettre en cause le résultat des constatations des faits opéré par l'instance précédente. Le recourant ne démontre au demeurant pas en quoi la comparaison des revenus à laquelle ont procédé les premiers juges serait manifestement inexacte ou incomplète. Au vu de ce qui précède, il n'y a pas de motif de s'écarter des faits retenus par la juridiction cantonale, ni de l'appréciation qu'elle en a faite. Manifestement infondé, le recours doit être rejeté.</w:t>
      </w:r>
    </w:p>
    <w:p>
      <w:r>
        <w:rPr>
          <w:b/>
        </w:rPr>
        <w:t>E. 4</w:t>
      </w:r>
    </w:p>
    <w:p>
      <w:r>
        <w:t>Compte tenu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