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9C_180/2024 vom 25. April 2024</w:t>
      </w:r>
    </w:p>
    <w:p>
      <w:r>
        <w:t>Bundesgericht, 2024-04-25, FR</w:t>
      </w:r>
    </w:p>
    <w:p>
      <w:r>
        <w:rPr>
          <w:b/>
        </w:rPr>
        <w:t xml:space="preserve">Quelle: </w:t>
      </w:r>
      <w:r>
        <w:t>https://mcp.opencaselaw.ch/entscheid/bger_9C_180_2024</w:t>
      </w:r>
    </w:p>
    <w:p>
      <w:r>
        <w:t>FR: TF 9C_180/2024 du 25 avril 2024</w:t>
      </w:r>
    </w:p>
    <w:p>
      <w:r>
        <w:t>IT: TF 9C_180/2024 del 25 aprile 2024</w:t>
      </w:r>
    </w:p>
    <w:p>
      <w:pPr>
        <w:pStyle w:val="Heading2"/>
      </w:pPr>
      <w:r>
        <w:t>Volltext</w:t>
      </w:r>
    </w:p>
    <w:p>
      <w:r>
        <w:t>Bundesgericht</w:t>
      </w:r>
    </w:p>
    <w:p>
      <w:r>
        <w:t>Tribunal fédéral</w:t>
      </w:r>
    </w:p>
    <w:p>
      <w:r>
        <w:t>Tribunale federale</w:t>
      </w:r>
    </w:p>
    <w:p>
      <w:r>
        <w:t>Tribunal federal</w:t>
      </w:r>
    </w:p>
    <w:p>
      <w:r>
        <w:t>9C_180/2024</w:t>
      </w:r>
    </w:p>
    <w:p>
      <w:r>
        <w:t>Arrêt du 25 avril 2024</w:t>
      </w:r>
    </w:p>
    <w:p>
      <w:r>
        <w:t>IIIe Cour de droit public</w:t>
      </w:r>
    </w:p>
    <w:p>
      <w:r>
        <w:t>Composition</w:t>
      </w:r>
    </w:p>
    <w:p>
      <w:r>
        <w:t>M. le Juge fédéral Parrino, Président.</w:t>
      </w:r>
    </w:p>
    <w:p>
      <w:r>
        <w:t>Greffier : M. Bleicker.</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w:t>
      </w:r>
    </w:p>
    <w:p>
      <w:r>
        <w:t>(condition de recevabilité),</w:t>
      </w:r>
    </w:p>
    <w:p>
      <w:r>
        <w:t>recours contre l'arrêt du Tribunal administratif fédéral</w:t>
      </w:r>
    </w:p>
    <w:p>
      <w:r>
        <w:t>du 14 février 2024 (C-3778/2023).</w:t>
      </w:r>
    </w:p>
    <w:p>
      <w:r>
        <w:t>Vu :</w:t>
      </w:r>
    </w:p>
    <w:p>
      <w:r>
        <w:t>l'arrêt du 14 février 2024, par lequel la juge unique du Tribunal administratif fédéral a rejeté la requête de restitution du délai de recours puis déclaré irrecevable, pour cause de tardiveté, le recours que A.________ a formé contre une décision sur opposition de la Caisse suisse de compensation du 7 mars 2023,</w:t>
      </w:r>
    </w:p>
    <w:p>
      <w:r>
        <w:t>le recours du 11 mars 2024 formé par le prénommé contre cet arrêt,</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 le recourant ne se détermine en l'espèce aucunement sur les motifs développés dans l'arrêt attaqué,</w:t>
      </w:r>
    </w:p>
    <w:p>
      <w:r>
        <w:t>qu'il ne réfute en particulier nullement dans son écriture les constatations sur lesquelles repose l'arrêt attaqué, soit qu'il avait déposé un recours tardivement et qu'il n'avait pas établi avoir été empêché, sans sa faute, d'agir dans le délai de recours de 30 jours,</w:t>
      </w:r>
    </w:p>
    <w:p>
      <w:r>
        <w:t>qu'en développant exclusivement des arguments sur le montant de sa rente de vieillesse, le recourant ne présente aucune motivation topique, c'est-à-dire permettant de saisir en quoi l'autorité précédente aurait violé le droit fédéral en considérant que le recours avait été déposé tardivement,</w:t>
      </w:r>
    </w:p>
    <w:p>
      <w:r>
        <w:t>que le présent recours ne satisfait par conséquent manifestement pas aux exigences de motivation prévues à l' art. 42 al. 1 et 2 LTF ,</w:t>
      </w:r>
    </w:p>
    <w:p>
      <w:r>
        <w:t>que le recours doit être déclaré irrecevable et traité selon la procédure simplifiée prévue à l' art. 108 al. 1 let. b LTF ,</w:t>
      </w:r>
    </w:p>
    <w:p>
      <w:r>
        <w:t>qu'il y a exceptionnellement lieu de renoncer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25 avril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