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17/2020 vom 30. März 2020</w:t>
      </w:r>
    </w:p>
    <w:p>
      <w:r>
        <w:t>Bundesgericht, 2020-03-30, DE</w:t>
      </w:r>
    </w:p>
    <w:p>
      <w:r>
        <w:rPr>
          <w:b/>
        </w:rPr>
        <w:t xml:space="preserve">Quelle: </w:t>
      </w:r>
      <w:r>
        <w:t>https://mcp.opencaselaw.ch/entscheid/bger_9C_17_2020</w:t>
      </w:r>
    </w:p>
    <w:p>
      <w:r>
        <w:t>FR: TF 9C 17/2020 du 30 mars 2020</w:t>
      </w:r>
    </w:p>
    <w:p>
      <w:r>
        <w:t>IT: TF 9C 17/2020 del 30 marzo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Streitgegenstand bildet in letzter Instanz einzig die Frage, ob die Vorinstanz Bundesrecht verletzt hat, indem sie den Rentenanspruch des Versicherten ab 1. April 2017 anhand einer Parallelisierung der Vergleichseinkommen ermittelte. Nicht im Streit liegt demgegenüber, dass dem polydisziplinären SMAB-Gutachten vom 29. Dezember 2017 - wonach vom 24. April 2014 bis 31. Dezember 2016 eine vollständige Arbeitsunfähigkeit bestand, der Versicherte aber ab Januar 2017 in angepasster Tätigkeit wieder zu 50 % arbeitsfähig ist - Beweiskraft beigemessen werden kann, nachdem das kantonale Gericht die entsprechenden Beweisanforderungen zu Recht als erfüllt angesehen hat (vgl. BGE 134 V 231 E. 5.1 S. 232; 125 V 351 E. 3a S. 352).</w:t>
      </w:r>
    </w:p>
    <w:p>
      <w:r>
        <w:rPr>
          <w:b/>
        </w:rPr>
        <w:t>E. 2.2</w:t>
      </w:r>
    </w:p>
    <w:p>
      <w:r>
        <w:t>Das kantonale Gericht hat die Rechtsprechung zur Einkommensparallelisierung ( BGE 141 V 1 E. 5.4 S. 3; 135 V 58 E. 3.1 S. 59) und betreffend die in diesem Zusammenhang geltende Erheblichkeitsgrenze von 5 % ( BGE 135 V 297 E. 6.1.2 und 6.1.3 S. 303 f.) zutreffend dargelegt. Darauf wird verwiesen.</w:t>
      </w:r>
    </w:p>
    <w:p>
      <w:r>
        <w:rPr>
          <w:b/>
        </w:rPr>
        <w:t>E. 3</w:t>
      </w:r>
    </w:p>
    <w:p>
      <w:r>
        <w:t>Die Vorinstanz hat (implizit) auf die Einschätzung der psychiatrischen SMAB-Experten Dres. med. B.________ und C.________ verwiesen, wonach es nahe liege, dass der Explorand bereits im jungen Erwachsenenalter an einer kombinierten Persönlichkeitsstörung mit labilen, emotional instabilen, impulsiven und haltlosen Anteilen gelitten habe; dieser habe eine Orientierungslosigkeit und ablehnende Haltung gegenüber dem Elternhaus und der Gesellschaft entwickelt, was in einem früh begonnenen Alkohol- und Drogenkonsum, wiederholt schwerem delinquenten Verhalten mit Aufenthalt in ungünstigem Milieu und schliesslich einer zweijährigen Haftstrafe gemündet habe. Vor diesem Hintergrund hat das kantonale Gericht beweiswürdigend festgestellt, mit Blick auf die Lebens- und Erwerbsbiografie könne nicht gesagt werden, dass sich der Versicherte freiwillig mit einem bescheidenen Erwerbseinkommen begnügt habe.</w:t>
      </w:r>
    </w:p>
    <w:p>
      <w:r>
        <w:rPr>
          <w:b/>
        </w:rPr>
        <w:t>E. 4.1</w:t>
      </w:r>
    </w:p>
    <w:p>
      <w:r>
        <w:t>Was die Beschwerdeführerin dagegen vorbringt, verfängt nicht. Insbesondere gilt eine Beweiswürdigung nicht bereits dann als willkürlich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S. 31 mit Hinweisen). So verhält es sich hier nicht.</w:t>
      </w:r>
    </w:p>
    <w:p>
      <w:r>
        <w:rPr>
          <w:b/>
        </w:rPr>
        <w:t>E. 4.2</w:t>
      </w:r>
    </w:p>
    <w:p>
      <w:r>
        <w:t>Wohl erzielte der Versicherte während seiner Tätigkeit bei der National Zeitung die höchsten Einkommen seiner Validenkarriere. In der Beschwerde wird jedoch nicht (substanziiert) dargelegt, inwiefern es sich dabei nicht bloss um eine Ausnahmeerscheinung handelte, zumal selbst die dort erzielten Jahresverdienste unterdurchschittlich waren (für 1994: Einkommen gemäss individuellem Konto [nachfolgend: IK]: Fr. 53'132.-; statistischer Durchschnitt, angepasst an die betriebsübliche wöchentliche Arbeitszeit: Fr. 61'264.- [LSE 1994, TA 1.1.1, Anforderungsniveau 4, Männer, Papier- und Papierwaren: Fr. 4909.- x 12 = Fr. 58'908.- x 41.6 /40]). Die seit dem Abschluss der zweijährigen Coiffeurlehre im Jahre 1983 dokumentierte Lohnentwicklung zeigt sich denn auch nicht ansatzweise konstant. Vielmehr lassen sich dem IK-Auszug praktisch nur deutlich tiefere Einkommen als diejenigen bei der National Zeitung entnehmen. Das gilt vor allem für die Zeit unmittelbar nach der absolvierten Berufsausbildung (1984: Fr. 342.-; 1985: Fr. 3236.-; 1986: Fr. 3000.-; 1987: Fr. 3000.- und Fr. 544.-), aber auch hinsichtlich der letzten verbuchten Einträge vor dem Stellenantritt des Versicherten als Kellner und stellvertretender Geschäftsführer in der später übernommenen Café-Bar (2002: Fr. 7623.-; 2003: Fr. 8307.-). Überdies endete die Anstellung bei der National Zeitung bereits im Jahre 1997, also rund siebzehn Jahre vor Eintritt der relevanten Arbeitsunfähigkeit im Frühling 2014. Dass der Versicherte diese Tätigkeit aufgegeben hätte, weil er sich aus freien Stücken mit einem geringeren Einkommen begnügte, ist nicht belegt. Ebenso wenig kann mit Blick auf die gesamte Erwerbsbiografie davon die Rede sein, dass er - wie die Beschwerdeführerin weiter behauptet - in der Lage gewesen wäre, "normal" entlöhnte Anstellungen in verschiedenen Bereichen zu erhalten, nachdem er im erlernten Beruf als Coiffeur zu keinem Zeitpunkt Fuss fassen konnte. Schliesslich hat die Vorinstanz berücksichtigt, dass bei der Parallelisierung der Vergleichseinkommen mitspielende Faktoren im Rahmen des Abzugs vom Tabellenlohn (hier: 15 %) nicht nochmals einbezogen werden dürfen (vgl. vorinstanzliche Erwägung 5.3.3). Weiterungen erübrigen sich. Damit hat es sein Bewenden.</w:t>
      </w:r>
    </w:p>
    <w:p>
      <w:r>
        <w:rPr>
          <w:b/>
        </w:rPr>
        <w:t>E. 4.3</w:t>
      </w:r>
    </w:p>
    <w:p>
      <w:r>
        <w:t>Nach dem Gesagten ist die entscheidende vorinstanzliche Sachverhaltsfeststellung (vgl. E. 3 in fine) weder offensichtlich unrichtig noch sonstwie bundesrechtswidrig. Sie bleibt für das Bundesgericht verbindlich (E. 1). Folglich durfte die Vorinstanz eine Einkommensparallelisierung vornehmen, ohne Bundesrecht zu verletzen. Die vorinstanzliche Invaliditätsbemessung ist im Übrigen unbestritten geblieben. Die Beschwerde ist unbegründet.</w:t>
      </w:r>
    </w:p>
    <w:p>
      <w:r>
        <w:rPr>
          <w:b/>
        </w:rPr>
        <w:t>E. 5</w:t>
      </w:r>
    </w:p>
    <w:p>
      <w:r>
        <w:t>Mit dem Entscheid in der Sache ist das Gesuch der Beschwerdeführerin um aufschiebende Wirkung der Beschwerde gegenstandslos.</w:t>
      </w:r>
    </w:p>
    <w:p>
      <w:r>
        <w:rPr>
          <w:b/>
        </w:rPr>
        <w:t>E. 6</w:t>
      </w:r>
    </w:p>
    <w:p>
      <w:r>
        <w:t>Dem Ausgang des Verfahrens entsprechend hat die Beschwerdeführerin die Gerichtskosten zu tragen ( Art. 66 Abs. 1 Satz 1 BGG ). Dem Beschwerdegegner ist aus dem bundesgerichtlichen Verfahren kein entschädigungspflichtiger Aufwand erwachsen, weshalb ihm kein Parteikostenersatz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