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9C_17/2016 vom 14. Juni 2016</w:t>
      </w:r>
    </w:p>
    <w:p>
      <w:r>
        <w:t>Bundesgericht, 2016-06-14, DE</w:t>
      </w:r>
    </w:p>
    <w:p>
      <w:r>
        <w:rPr>
          <w:b/>
        </w:rPr>
        <w:t xml:space="preserve">Quelle: </w:t>
      </w:r>
      <w:r>
        <w:t>https://mcp.opencaselaw.ch/entscheid/bger_9C_17_2016</w:t>
      </w:r>
    </w:p>
    <w:p>
      <w:r>
        <w:t>FR: TF 9C_17/2016 du 14 juin 2016</w:t>
      </w:r>
    </w:p>
    <w:p>
      <w:r>
        <w:t>IT: TF 9C_17/2016 del 14 giugno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Vorinstanz ist davon ausgegangen, dass die Versicherte ohne Gesundheitsschaden zu 80 % erwerbstätig gewesen wäre, und hat das "Restpensum" von 20 % dem Aufgabenbereich Haushalt zugeordnet. Folglich hat sie die Invaliditätsbemessung nach der gemischten Methode ( Art. 28a Abs. 3 IVG ; BGE 130 V 396 E. 3.3 S. 396; Urteil 9C_490/2014 vom 23. Januar 2015 E. 3.2) vorgenommen. Für den Erwerbsbereich hat sie einen Invaliditätsgrad von 50,26 % resp. (gewichtet) 40,21 % errechnet; im Haushalt hat sie eine Einschränkung von 22 % resp. (gewichtet) 4,4 % ermittelt. Beim gesamthaft resultierenden Invaliditätsgrad von (gerundet) 45 % hat sie den Anspruch auf eine Viertelsrente ( Art. 28 Abs. 2 IVG ) bestätigt.</w:t>
      </w:r>
    </w:p>
    <w:p>
      <w:r>
        <w:rPr>
          <w:b/>
        </w:rPr>
        <w:t>E. 2.1</w:t>
      </w:r>
    </w:p>
    <w:p>
      <w:r>
        <w:t>Die Beschwerdeführerin macht - unter Verweis auf BGE 131 V 51 - einzig geltend (vgl. Art. 42 Abs. 1 f. BGG; BGE 135 II 384 E. 2.2.1 S. 389), sie habe keinen gesetzlichen Aufgabenbereich. Die Invalidität sei daher nicht nach der gemischten, sondern nach der allgemeinen Methode des Einkommensvergleichs ( Art. 28a Abs. 1 IVG i.V.m. Art. 16 ATSG ) zu bemessen. Der Rentenanspruch entspreche der Einschränkung im Erwerbsbereich.</w:t>
      </w:r>
    </w:p>
    <w:p>
      <w:r>
        <w:rPr>
          <w:b/>
        </w:rPr>
        <w:t>E. 2.2</w:t>
      </w:r>
    </w:p>
    <w:p>
      <w:r>
        <w:t>Das Bundesgericht befasste sich im (zur amtlichen Publikation vorgesehenen) Urteil 9C_178/2015 vom 4. Mai 2016 eingehend mit der Problematik, dass sich nach der bisherigen Praxis ( BGE 131 V 51 ) allein der Ersatz des versicherten Aufgabenbereichs (Haushaltführung) durch Freizeit, die nach Art. 27 IVV (SR 831.201) nicht versichert ist, rentenerhöhend auswirkt (Urteil 9C_178/2015 vom 4. Mai 2016 E. 6.2). Dabei präzisierte es die Rechtsprechung gemäss BGE 131 V 51 dahingehend, dass bei Teilerwerbstätigen ohne Aufgabenbereich der aus dem Einkommensvergleich resultierende Invaliditätsgrad proportional - im Umfang des hypothetisch-erwerblichen Teilzeitpensums - zu berücksichtigen ist (Urteil 9C_178/2015 vom 4. Mai 2016 E. 7).</w:t>
      </w:r>
    </w:p>
    <w:p>
      <w:r>
        <w:rPr>
          <w:b/>
        </w:rPr>
        <w:t>E. 2.3</w:t>
      </w:r>
    </w:p>
    <w:p>
      <w:r>
        <w:t>Angesichts dieser Präzisierung kann offenbleiben, ob der Beschwerdeführerin ein Aufgabenbereich anzurechnen ist. Unter Anwendung der Einkommensvergleichsmethode, d.h. ohne Berücksichtigung eines Aufgabenbereichs, beträgt der (gewichtete) Invaliditätsgrad 40,21 % (E. 1). Demnach bleibt es beim Anspruch auf eine Viertelsrente ( Art. 28 Abs. 2 IVG ). Die Beschwerde ist unbegründet.</w:t>
      </w:r>
    </w:p>
    <w:p>
      <w:r>
        <w:rPr>
          <w:b/>
        </w:rPr>
        <w:t>E. 3</w:t>
      </w:r>
    </w:p>
    <w:p>
      <w:r>
        <w:t>Dem Ausgang des Verfahrens entsprechend hat die Beschwerdeführerin die Gerichtskosten zu tragen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