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9C_179/2021 vom 8. Juli 2021</w:t>
      </w:r>
    </w:p>
    <w:p>
      <w:r>
        <w:t>Bundesgericht, 2021-07-08, DE</w:t>
      </w:r>
    </w:p>
    <w:p>
      <w:r>
        <w:rPr>
          <w:b/>
        </w:rPr>
        <w:t xml:space="preserve">Quelle: </w:t>
      </w:r>
      <w:r>
        <w:t>https://mcp.opencaselaw.ch/entscheid/bger_9C_179_2021</w:t>
      </w:r>
    </w:p>
    <w:p>
      <w:r>
        <w:t>FR: TF 9C_179/2021 du 8 juillet 2021</w:t>
      </w:r>
    </w:p>
    <w:p>
      <w:r>
        <w:t>IT: TF 9C_179/2021 del 8 luglio 2021</w:t>
      </w:r>
    </w:p>
    <w:p>
      <w:pPr>
        <w:pStyle w:val="Heading2"/>
      </w:pPr>
      <w:r>
        <w:t>Erwägungen</w:t>
      </w:r>
    </w:p>
    <w:p>
      <w:r>
        <w:rPr>
          <w:b/>
        </w:rPr>
        <w:t>E. 1</w:t>
      </w:r>
    </w:p>
    <w:p>
      <w:r>
        <w:t>Das kantonale Gericht hat die massgebenden Rechtsgrundlagen zur Anrechnung hypothetischer Erwerbseinkommen zunächst dem Grundsatz nach richtig dargestellt (vorinstanzliche Erwägungen 2.1 und 2.2). Darauf wird verwiesen.</w:t>
      </w:r>
    </w:p>
    <w:p>
      <w:r>
        <w:rPr>
          <w:b/>
        </w:rPr>
        <w:t>E. 2</w:t>
      </w:r>
    </w:p>
    <w:p>
      <w:r>
        <w:t>Strittig und zu beurteilen ist, ob das Versicherungsgericht Bundesrecht verletzt hat indem es erkannte, es sei weder dem Versicherten noch seiner Ehefrau ab dem 1. März 2016 ein hypothetisches Erwerbseinkommen anzurechnen.</w:t>
      </w:r>
    </w:p>
    <w:p>
      <w:r>
        <w:rPr>
          <w:b/>
        </w:rPr>
        <w:t>E. 3.1</w:t>
      </w:r>
    </w:p>
    <w:p>
      <w:r>
        <w:t>Hinsichtlich des Versicherten selber erwog die Vorinstanz im Wesentlichen, diesem sei es ab September 2015 bis mindestens zum Zeitpunkt des Verfügungserlasses am 6. Februar 2016 zwar objektiv möglich, aber nicht zumutbar gewesen, einer Erwerbstätigkeit nachzugehen. Aufgrund Verdachts auf eine axiale Spondyloarthritis habe er bei der IV-Stelle ein Rentenerhöhungsgesuch gestellt und sei von seinem Hausarzt voll arbeitsunfähig erachtet worden, worauf er habe vertrauen dürfen. In dieser Situation Arbeitsbemühungen zu verlangen, würde - so das kantonale Gericht - der "EL-spezifischen Schadenminderungspflicht" insofern die subjektive Komponente absprechen als einzig darauf abgestellt würde, ob ein EL-Bezüger bei rein objektiver Betrachtungsweise fähig sei, den EL-spezifischen Schaden durch die Erzielung eines Erwerbseinkommens zu mindern.</w:t>
      </w:r>
    </w:p>
    <w:p>
      <w:r>
        <w:t>Wie die Beschwerdeführerin richtig geltend macht, verletzt die Vorinstanz damit Bundesrecht. Die EL-Organe und Sozialversicherungsgerichte haben in Bezug auf die invaliditätsbedingte Beeinträchtigung der Erwerbsfähigkeit grundsätzlich die Invaliditätsbemessung der Invalidenversicherung zu übernehmen ( BGE 141 V 343 E. 5.7; BGE 140 V 267 E. 5.1). Diese ermittelte hier einen unveränderten Invaliditätsgrad von 47 % bei einer Arbeitsfähigkeit in adaptierter Tätigkeit von 65 %. Die Ausgleichskasse macht zu Recht - unter Verweis auf die bundesgerichtliche Rechtsprechung (SVR 2019 EL Nr. 15 S. 37, Urteil 9C_653/2018 vom 26. Juli 2019 E. 5.1; Urteil 9C_251/2019 vom 9. Januar 2020 E. 7.2 und 7.3.2) - geltend, dass es sich bei der hiervon abweichenden Arbeitsunfähigkeitsbescheinigung des behandelnden Hausarztes nicht um einen invaliditätsfremden Grund handelt, der die gesetzliche Vermutung der Verwertbarkeit der Restarbeitsfähigkeit umzustossen vermag und es mit der Schadenminderungspflicht nicht vereinbar ist, während eines laufenden Rentenrevisionsverfahrens die allenfalls verbleibende Restarbeitsfähigkeit nicht zu verwerten. Darauf kann verwiesen werden, zumal das Zeugnis des Hausarztes vom 15. Februar 2016 lediglich eine neue Verdachtsdiagnose erwähnt. Dem Versicherten musste mithin bekannt sein, dass die Sachlage (noch) nicht klar und ein Vertrauen in die Arbeitsfähigkeitsbescheinigung des Hausarztes demnach nicht angebracht war.</w:t>
      </w:r>
    </w:p>
    <w:p>
      <w:r>
        <w:rPr>
          <w:b/>
        </w:rPr>
        <w:t>E. 3.2</w:t>
      </w:r>
    </w:p>
    <w:p>
      <w:r>
        <w:t>Bezüglich der Ehefrau des Versicherten erwog das Versicherungsgericht, es sei einerseits fraglich, ob von dieser als Hilfsarbeiterin überhaupt Bewerbungen mit individuell auf die jeweilige Stelle zugeschnittenen, fehlerfreien Motivationsschreiben verlangt werden könnten. Entscheidend sei indes, dass die Ausgleichskasse ihr nie Gelegenheit gegeben habe, die geltend gemachten qualitativen Mängel ihrer Bewerbungen zu beheben. Mithin habe sie das Mahn- und Bedenkzeitverfahren, das einer Leistungskürzung notwendigerweise vorausgehen müsse, nicht korrekt durchgeführt. Schon aus diesem Grund seien die Arbeitsbemühungen der Ehefrau ab November 2015 als genügend anzusehen, so dass ein hypothetisches Erwerbseinkommen per 31. Dezember 2015 nicht mehr hätte angerechnet werden dürfen.</w:t>
      </w:r>
    </w:p>
    <w:p>
      <w:r>
        <w:t>Mit der Beschwerdeführerin - die auch hier zutreffend auf die bundesgerichtliche Rechtsprechung verweist (zit. Urteil 9C_251/2019 E. 8.2 mit Hinweisen) - fehlt einer Anwendung von Art. 21 Abs. 4 ATSG auf die Ergänzungsleistungen jeglicher sachliche Zusammenhang. Darauf wird verwiesen.</w:t>
      </w:r>
    </w:p>
    <w:p>
      <w:r>
        <w:rPr>
          <w:b/>
        </w:rPr>
        <w:t>E. 3.3</w:t>
      </w:r>
    </w:p>
    <w:p>
      <w:r>
        <w:t>Die Ausgleichskasse bestreitet, dass der Versicherte und seine Ehefrau den Nachweis erbracht hätten, trotz ausreichender Arbeitsbemühungen keine Stelle finden zu können. Eine konkrete Würdigung der erfolgten Arbeitsbemühungen unter diesem Blickwinkel fehlt im vorinstanzlichen Entscheid. Die Vorinstanz wirft darin lediglich am Rande die Frage nach dem Genügen der Arbeitsbemühungen der Ehefrau des Versicherten auf. Die Sache ist demnach dem Versicherungsgericht zurückzuweisen, damit es das Versäumte nachhole. Dessen Entscheid vom 16. Februar 2021 ist aufzuheben.</w:t>
      </w:r>
    </w:p>
    <w:p>
      <w:r>
        <w:rPr>
          <w:b/>
        </w:rPr>
        <w:t>E. 3.4</w:t>
      </w:r>
    </w:p>
    <w:p>
      <w:r>
        <w:t>Die Beschwerde ist offensichtlich begründet, weshalb sie im vereinfachten Verfahren nach Art. 109 Abs. 2 lit. b BGG erledigt wird.</w:t>
      </w:r>
    </w:p>
    <w:p>
      <w:r>
        <w:rPr>
          <w:b/>
        </w:rPr>
        <w:t>E. 4</w:t>
      </w:r>
    </w:p>
    <w:p>
      <w:r>
        <w:t>Hinsichtlich der Prozesskosten gilt die Rückweisung der Sache zu neuem Entscheid (mit noch offenem Ausgang) praxisgemäss als volles Obsiegen der beschwerdeführenden Partei, unabhängig davon, ob sie beantragt oder ob das entsprechende Begehren im Haupt- oder im Eventualantrag gestellt wird ( BGE 132 V 215 E. 6.1; Urteil 8C_68/2021 vom 6. Mai 2021 E. 7.1). Der Beschwerdegegner hat daher im vorliegenden Verfahren die Gerichtskosten zu tragen; indes kann seinem Gesuch um Befreiung von den Gerichtskosten stattgegeben werden. Es wird jedoch ausdrücklich auf Art. 64 Abs. 4 BGG aufmerksam gemacht, wonach er der Gerichtskasse Ersatz zu leisten haben wird, wenn er später dazu in der Lage ist.</w:t>
      </w:r>
    </w:p>
    <w:p>
      <w:r>
        <w:rPr>
          <w:b/>
        </w:rPr>
        <w:t>E. 5</w:t>
      </w:r>
    </w:p>
    <w:p>
      <w:r>
        <w:t>Mit dem Entscheid in der Sache ist das Gesuch der Ausgleichskasse um aufschiebende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