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179/2018 vom 5. April 2018</w:t>
      </w:r>
    </w:p>
    <w:p>
      <w:r>
        <w:t>Bundesgericht, 2018-04-05, DE</w:t>
      </w:r>
    </w:p>
    <w:p>
      <w:r>
        <w:rPr>
          <w:b/>
        </w:rPr>
        <w:t xml:space="preserve">Quelle: </w:t>
      </w:r>
      <w:r>
        <w:t>https://mcp.opencaselaw.ch/entscheid/bger_9C_179_2018</w:t>
      </w:r>
    </w:p>
    <w:p>
      <w:r>
        <w:t>FR: TF 9C 179/2018 du 5 avril 2018</w:t>
      </w:r>
    </w:p>
    <w:p>
      <w:r>
        <w:t>IT: TF 9C 179/2018 del 5 aprile 2018</w:t>
      </w:r>
    </w:p>
    <w:p>
      <w:pPr>
        <w:pStyle w:val="Heading2"/>
      </w:pPr>
      <w:r>
        <w:t>Regeste</w:t>
      </w:r>
    </w:p>
    <w:p>
      <w:r>
        <w:t>Alters- und Hinterlassenenversicherung (unrechtmässig bezogene Witwenrente; Erlass der Rückerstattung) | Alters- und Hinterlassenenversicherung</w:t>
      </w:r>
    </w:p>
    <w:p>
      <w:pPr>
        <w:pStyle w:val="Heading2"/>
      </w:pPr>
      <w:r>
        <w:t>Erwägungen</w:t>
      </w:r>
    </w:p>
    <w:p>
      <w:r>
        <w:rPr>
          <w:b/>
        </w:rPr>
        <w:t>E. 1</w:t>
      </w:r>
    </w:p>
    <w:p>
      <w:r>
        <w:t>Wer (unrechtmässig gewährte) Leistungen in gutem Glauben empfangen hat, muss sie nicht zurückerstatten, wenn eine grosse Härte vorliegt (Art. 25 Abs. 1 zweiter Satz ATSG [SR 830.1], Art. 4 Abs. 1 ATSV [SR 830.11]). Massgebend ist der gute Glaube während des Bezugs der unrechtmässigen Leistung (SVR 2014 IV Nr. 35 S. 126, 8C_182/2014 E. 3.5; Urteil 9C_728/2016 vom 26. Oktober 2017 E. 1.1). Die rückerstattungspflichtige Person kann sich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112 V 97 E. 2c S. 103; SVR 2017 AHV Nr. 3 S. 5, 9C_413/2016 E. 3.1 mit Hinweis). Die Frage, ob sich jemand unter den gegebenen Umständen auf den guten Glauben berufen kann oder ob er bei zumutbarer Aufmerksamkeit den bestehenden Rechtsmangel hätte erkennen sollen, stellt eine vom Bundesgericht frei überprüfbare Rechtsfrage dar ( BGE 122 V 221 E. 3 S. 223; SVR 2017 AHV Nr. 3 S. 5, 9C_413/2016 E. 3.1 mit Hinweis; Urteil 9C_463/2016 vom 12. Juli 2017 E. 2.2).</w:t>
      </w:r>
    </w:p>
    <w:p>
      <w:r>
        <w:rPr>
          <w:b/>
        </w:rPr>
        <w:t>E. 2</w:t>
      </w:r>
    </w:p>
    <w:p>
      <w:r>
        <w:t>Die Beschwerdeführerin räumt ein, dass ihr beim Ausfüllen des Anmeldeformulars "nach jetzigem Kenntnisstand" ein Fehler unterlaufen sei. Die offenkundige Unkorrektheit und Unvollständigkeit ihrer Angaben hätten ihr jedoch bereits damals auffallen müssen, woran nichts ändert, dass auch die Ausgleichskasse keineswegs fehlerfrei agierte. Für die Beantwortung der Frage nach der Gutgläubigkeit beim unrechtmässigen Rentenbezug wird jedoch allein auf das Verhalten der Beschwerdeführerin abgestellt. Dabei kann ihr der Vorwurf der grobfahrlässigen Auskunftspflichtverletzung, welche den guten Glauben rechtsprechungsgemäss ausschliesst, nicht erspart bleiben. Abgesehen davon kann von einem gutgläubigen Rentenbezug schon deshalb keine Rede sein, weil die Beschwerdeführerin von Beginn weg, dass heisst noch im April 2011, als ihr die Witwenrente erstmals ausgerichtet wurde, bereits unüberwindbare Zweifel an der Richtigkeit der Rentengewährung über den Monat der neuerlichen Eheschliessung hinaus hegte. Wie die Vorinstanz zutreffend feststellt, ergibt sich dies mit aller Deutlichkeit aus den eingangs erwähnten (lit. A.a hievor) schriftlichen und elektronischen Eingaben an die Ausgleichskasse. So verlangte die Beschwerdeführerin mit E-Mail vom 9. Mai 2011 eine Bestätigung über die Korrektheit der Rentenverfügung vom 30. März 2011, "nicht dass ich im Nachhinein der Falschangabe, der Nichtangabe von Unterlagen oder gar des Betruges bezichtigt werde und mit daraus Nachteile entstehen". In dieser Situation ist unverständlich, weshalb die Beschwerdeführerin nicht bereits damals die Ursache ihrer Zweifel, nämlich ihre zwischenzeitliche Wiederverheiratung, klar benannte. Ist nach dem Gesagten die Erlassvoraussetzung des guten Glaubens zu verneinen, braucht die wirtschaftliche Härte nicht geprüft zu werden.</w:t>
      </w:r>
    </w:p>
    <w:p>
      <w:r>
        <w:rPr>
          <w:b/>
        </w:rPr>
        <w:t>E. 3</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