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178/2010 vom 14. April 2010</w:t>
      </w:r>
    </w:p>
    <w:p>
      <w:r>
        <w:t>Bundesgericht, 2010-04-14, DE</w:t>
      </w:r>
    </w:p>
    <w:p>
      <w:r>
        <w:rPr>
          <w:b/>
        </w:rPr>
        <w:t xml:space="preserve">Quelle: </w:t>
      </w:r>
      <w:r>
        <w:t>https://mcp.opencaselaw.ch/entscheid/bger_9C_178_2010</w:t>
      </w:r>
    </w:p>
    <w:p>
      <w:r>
        <w:t>FR: TF 9C 178/2010 du 14 avril 2010</w:t>
      </w:r>
    </w:p>
    <w:p>
      <w:r>
        <w:t>IT: TF 9C 178/2010 del 14 aprile 2010</w:t>
      </w:r>
    </w:p>
    <w:p>
      <w:pPr>
        <w:pStyle w:val="Heading2"/>
      </w:pPr>
      <w:r>
        <w:t>Regeste</w:t>
      </w:r>
    </w:p>
    <w:p>
      <w:r>
        <w:t>Invalidenversicherung (Parteientschädigung, Gutachten, Rechtsschutzversicherung) | Invalidenversicherung</w:t>
      </w:r>
    </w:p>
    <w:p>
      <w:pPr>
        <w:pStyle w:val="Heading2"/>
      </w:pPr>
      <w:r>
        <w:t>Erwägungen</w:t>
      </w:r>
    </w:p>
    <w:p>
      <w:r>
        <w:rPr>
          <w:b/>
        </w:rPr>
        <w:t>E. 1</w:t>
      </w:r>
    </w:p>
    <w:p>
      <w:r>
        <w:t>Einziger Streitpunkt bildet die Frage, ob das kantonale Gericht Bundesrecht verletzt hat, indem es die Verpflichtung zur Vergütung der Gutachtenskosten des Medizinischen Abklärungs-Instituts Y.________ durch die IV-Stelle verneint hat. Dazu hat das kantonale Gericht erwogen: "5.3 Entsprechend dem Prozessausgang ist die Beschwerdegegnerin zur Bezahlung einer angemessenen, ohne Rücksicht auf den Streitwert nach der Bedeutung der Streitsache, der Schwierigkeit des Prozesses und dem Mass des Obsiegens festzusetzenden reduzierten Prozessentschädigung in Höhe von Fr. 1600.- (inkl. Barauslagen und Mehrwertsteuer [MWSt]) an den anwaltlich vertretenen Beschwerdeführer zu verpflichten ( Art. 61 lit. g ATSG in Verbindung mit § 34 GSVGer und § 7 f. der Verordnung über die Gebühren, Kosten und Entschädigungen vor dem Sozialversicherungsgericht [GebV SVGer]). Zu den entschädigungsfälligen Parteikosten gehören neben den Vertretungskosten besondere Auslagen, die für Abklärungsmassnahmen entstanden sind, welche durch den Versicherer beziehungsweise das kantonale Versicherungsgericht anzuordnen und durchzuführen gewesen wären, an deren Stelle jedoch durch die Partei veranlasst wurden. Praxisgemäss sind solche Kosten zu ersetzen, wenn das eingeholte Gutachten massgebend für die Beurteilung der Streitfrage war (vgl. etwa Kieser, Kommentar zum Bundesgesetz über den Allgemeinen Teil des Sozialversicherungsrechts, Zürich 2009, Rz. 113 zu Art. 61 ATSG mit Hinweisen auf die auch ausserhalb des Anwendungsbereichs des ATSG einschlägige Rechtsprechung). Dies ist vorliegend zwar der Fall. Da der Beschwerdeführer jedoch selbst einräumt, dass die konkret in Frage stehenden Kosten für die Privatbegutachtung des Medizinischen Abklärungs-Instituts Y.________ von seiner Rechtsschutzversicherung (CAP Rechtsschutz-Versicherungsgesellschaft AG) übernommen worden sind (Urk. 21 S. 7), besteht seinerseits kein Anspruch auf deren Ersatz, und zwar unbesehen darum, dass 'Rechtsschutzkosten seine Police belasten'."</w:t>
      </w:r>
    </w:p>
    <w:p>
      <w:r>
        <w:rPr>
          <w:b/>
        </w:rPr>
        <w:t>E. 2</w:t>
      </w:r>
    </w:p>
    <w:p>
      <w:r>
        <w:t>Diese Auffassung wird in der (zulässigen; Art. 90 BGG ) Beschwerde zutreffend als bundesrechtswidrig ( Art. 95 lit. a BGG ) gerügt. In der Tat hält der vorinstanzliche Entscheid im Lichte des Urteils 9C_475/2009 vom 23. Oktober 2009 ( BGE 135 V 473 ) nicht Stand. Wenn, wie das Bundesgericht in diesem Urteil entschied, das Vorhandensein einer Rechtsschutzversicherung, welche die anwaltlichen Vertretungskosten übernimmt, keinen Grund darstellt, der durch einen Anwalt einer Rechtsschutzversicherung (oder einen Rechtsanwalt, dessen Honorar die Rechtsschutzversicherung vergütet) vertretenen, obsiegenden versicherten Person die Parteientschädigung nach Art. 61 lit. g ATSG zu verweigern, ist kein sachlich haltbarer Grund ersichtlich, warum es sich für die Kosten eines Parteigutachtens anders verhalten soll. Denn die Rechtsprechung hat die notwendigen Expertenkosten seit BGE 115 V 62 stets als Bestandteil des Parteientschädigungsanspruches betrachtet. Voraussetzung ist stets, dass die Privatbegutachtung notwendig und einen unerlässlichen Bestandteil der materiellen Beurteilung bildete, was hier jedoch nach ausdrücklicher Feststellung des kantonalen Gerichts zutrifft (und nach der Aktenlage nicht weiter in Frage zu stellen ist). Daher ist die Beschwerde im Grundsatz begründet. Da das Gutachten des Medizinischen Abklärungs-Instituts Y.________ bei den Akten liegt und, einschliesslich der separaten psychiatrischen Expertise, mit Fr. 3000.-, zuzüglich Mehrwertsteuer, korrekt fakturiert wurde, steht nichts entgegen, der Sache durch Zusprechung der Fr. 3228.- an den Beschwerdeführer zu Lasten der Beschwerdegegnerin ein Ende zu machen.</w:t>
      </w:r>
    </w:p>
    <w:p>
      <w:r>
        <w:rPr>
          <w:b/>
        </w:rPr>
        <w:t>E. 3</w:t>
      </w:r>
    </w:p>
    <w:p>
      <w:r>
        <w:t>Bei diesem Verfahrensausgang sind die Gerichtskosten der unterliegenden IV-Stelle aufzuerlegen, welche das Prozessrisiko trägt ( Art. 66 BGG ). Ferner steht dem Beschwerdeführer eine aufwandgemässe Parteientschädigung zu ( Art. 68 Abs. 1 BGG ; BGE 135 V 473 ).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