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9C_177/2015 vom 18. September 2015</w:t>
      </w:r>
    </w:p>
    <w:p>
      <w:r>
        <w:t>Bundesgericht, 2015-09-18, FR</w:t>
      </w:r>
    </w:p>
    <w:p>
      <w:r>
        <w:rPr>
          <w:b/>
        </w:rPr>
        <w:t xml:space="preserve">Quelle: </w:t>
      </w:r>
      <w:r>
        <w:t>https://mcp.opencaselaw.ch/entscheid/bger_9C_177_2015</w:t>
      </w:r>
    </w:p>
    <w:p>
      <w:r>
        <w:t>FR: TF 9C_177/2015 du 18 septembre 2015</w:t>
      </w:r>
    </w:p>
    <w:p>
      <w:r>
        <w:t>IT: TF 9C_177/2015 del 18 settembre 2015</w:t>
      </w:r>
    </w:p>
    <w:p>
      <w:pPr>
        <w:pStyle w:val="Heading2"/>
      </w:pPr>
      <w:r>
        <w:t>Erwägungen</w:t>
      </w:r>
    </w:p>
    <w:p>
      <w:r>
        <w:rPr>
          <w:b/>
        </w:rPr>
        <w:t>E. 1</w:t>
      </w:r>
    </w:p>
    <w:p>
      <w:r>
        <w:t>Compte tenu des motifs et conclusions de l'office recourant, est seul litigieux en l'espèce le droit de l'intimée à des mesures d'ordre professionnel, singulièrement le droit à une mesure de reclassement professionnel au sens de l' art. 17 LAI .</w:t>
      </w:r>
    </w:p>
    <w:p>
      <w:r>
        <w:rPr>
          <w:b/>
        </w:rPr>
        <w:t>E. 2</w:t>
      </w:r>
    </w:p>
    <w:p>
      <w:r>
        <w:t>La juridiction cantonale a constaté que l'intimée présentait un degré d'invalidité global de 21 %. Pour ce motif, elle a ordonné le renvoi de la cause à l'office recourant, pour que celui-ci détermine les mesures de réadaptation professionnelle auxquelles elle avait droit (reclassement). Le jugement entrepris doit être qualifié de décision finale au sens de l' art. 90 LTF , dès lors que le renvoi ne vise qu'à mettre à exécution la décision des premiers juges, qui ont reconnu le droit de l'intimée à des mesures de réadaptation professionnelle. Cet arrêt ne laisse plus de latitude de jugement à l'administration sur les aspects essentiels du droit à une mesure de reclassement au sens de l' art. 17 LAI , à savoir l'étendue de la diminution de capacité de gain de l'intimée et l'aptitude subjective de celle-ci. Il convient dès lors d'entrer en matière sur le recours.</w:t>
      </w:r>
    </w:p>
    <w:p>
      <w:r>
        <w:rPr>
          <w:b/>
        </w:rPr>
        <w:t>E. 3</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4.1</w:t>
      </w:r>
    </w:p>
    <w:p>
      <w:r>
        <w:t>Selon l' art. 17 al. 1 LAI , l'assuré a droit au reclassement dans une nouvelle profession si son invalidité rend cette mesure nécessaire et que sa capacité de gain peut ainsi, selon toute vraisemblance, être maintenue ou améliorée. 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4.2</w:t>
      </w:r>
    </w:p>
    <w:p>
      <w:r>
        <w:t>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suit de là que le degré d'invalidité minimal exigé par la jurisprudence ne doit être atteint que dans cette part d'activité et non résulter du degré d'invalidité globale, sauf à admettre que l'accomplissement des travaux habituels peut avoir une influence décisive sur la question de la réadaptation professionnelle (arrêt 9C_316/2010 du 12 avril 2011 consid. 4.2 et la référence).</w:t>
      </w:r>
    </w:p>
    <w:p>
      <w:r>
        <w:rPr>
          <w:b/>
        </w:rPr>
        <w:t>E. 4.3</w:t>
      </w:r>
    </w:p>
    <w:p>
      <w:r>
        <w:t>En l'occurrence, la juridiction cantonale a retenu que l'intimée présentait un degré d'invalidité global de 21 %, taux suffisant pour ouvrir droit à une mesure de reclassement. En se fondant sur le degré d'invalidité global présenté par l'intimée, elle a cependant conduit un raisonnement qui n'est pas conforme au droit fédéral. Ainsi que cela a été précisé au considérant précédent, le taux minimal exigé par la jurisprudence pour ouvrir le droit à une mesure de reclassement résulte exclusivement du degré d'invalidité pour la part consacrée à l'activité lucrative. En l'espèce, celui-ci s'élevait à 15 % et, partant, n'atteignait pas le seuil minimal pour ouvrir le droit à une mesure de reclassement. C'est donc à tort que la juridiction cantonale a reconnu à l'intimée le droit à une mesure de reclassement de l'assurance-invalidité. Il en résulte que le recours doit être admis et le jugement attaqué annulé.</w:t>
      </w:r>
    </w:p>
    <w:p>
      <w:r>
        <w:rPr>
          <w:b/>
        </w:rPr>
        <w:t>E. 5</w:t>
      </w:r>
    </w:p>
    <w:p>
      <w:r>
        <w:t>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