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9C_176/2022 vom 17. November 2022</w:t>
      </w:r>
    </w:p>
    <w:p>
      <w:r>
        <w:t>Bundesgericht, 2022-11-17, FR</w:t>
      </w:r>
    </w:p>
    <w:p>
      <w:r>
        <w:rPr>
          <w:b/>
        </w:rPr>
        <w:t xml:space="preserve">Quelle: </w:t>
      </w:r>
      <w:r>
        <w:t>https://mcp.opencaselaw.ch/entscheid/bger_9C_176_2022</w:t>
      </w:r>
    </w:p>
    <w:p>
      <w:r>
        <w:t>FR: TF 9C_176/2022 du 17 novembre 2022</w:t>
      </w:r>
    </w:p>
    <w:p>
      <w:r>
        <w:t>IT: TF 9C_176/2022 del 17 novembre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peut donc admettre un recours pour d'autres motifs que ceux invoqués par le recourant comme il peut le rejeter en opérant une substitution de motifs ( ATF 140 III 86 consid. 2 et les références). Il statue sur la base des faits établis par cette dernière ( art. 105 al. 1 LTF ).</w:t>
      </w:r>
    </w:p>
    <w:p>
      <w:r>
        <w:rPr>
          <w:b/>
        </w:rPr>
        <w:t>E. 2</w:t>
      </w:r>
    </w:p>
    <w:p>
      <w:r>
        <w:t>Le recourant reproche aux premiers juges d'avoir rejeté le motif de récusation envers les médecins du CEMed (dont certains se seraient déjà exprimés de façon inadéquate sur son cas durant la procédure administrative antérieure). Il leur fait encore grief d'avoir renvoyé la cause à l'office intimé pour qu'il réalise une nouvelle expertise au lieu d'ordonner eux-mêmes une expertise judiciaire, par arrêt du 5 juillet 2019.</w:t>
      </w:r>
    </w:p>
    <w:p>
      <w:r>
        <w:rPr>
          <w:b/>
        </w:rPr>
        <w:t>E. 3</w:t>
      </w:r>
    </w:p>
    <w:p>
      <w:r>
        <w:t>Manifestement infondé, le recours doit être rejeté selon la procédure simplifiée de l' art. 109 al. 2 let. a LTF . Peu importe tout d'abord les raisons qui ont amené la juridiction cantonale à écarter le grief de récusation des experts, celui-ci a été soulevé tardivement. Le principe de la bonne foi commande de faire état le plus tôt possible d'éventuels vices de procédure ou motifs de récusation (cf. ATF 143 V 66 consid. 4.3 et les références). Or le recourant ne s'est effectivement pas prévalu immédiatement d'une possible partialité des experts, en ce sens qu'eux-mêmes ou des médecins du même centre s'étaient déjà exprimés sur son cas au cours de la procédure administrative antérieure. Au lieu d'agir dans un délai raisonnable depuis la transmission par l'intimé, le 7 octobre 2019, du nom du centre d'expertise et des experts (sur l'attribution du mandat d'expertise, cf. arrêt 9C_344/2020 du 22 février 2021 consid. 4.2.2), il a attendu le dépôt de son recours cantonal du 26 mai 2021 pour critiquer l'attribution de l'expertise aux médecins du CEMed.</w:t>
      </w:r>
    </w:p>
    <w:p>
      <w:r>
        <w:t>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(cf. ATF 137 V 210 consid. 4.4.1.4).</w:t>
      </w:r>
    </w:p>
    <w:p>
      <w:r>
        <w:rPr>
          <w:b/>
        </w:rPr>
        <w:t>E. 4</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