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9C_176/2008 vom 19. Juni 2008</w:t>
      </w:r>
    </w:p>
    <w:p>
      <w:r>
        <w:t>Bundesgericht, 2008-06-19, DE</w:t>
      </w:r>
    </w:p>
    <w:p>
      <w:r>
        <w:rPr>
          <w:b/>
        </w:rPr>
        <w:t xml:space="preserve">Quelle: </w:t>
      </w:r>
      <w:r>
        <w:t>https://mcp.opencaselaw.ch/entscheid/bger_9C_176_2008</w:t>
      </w:r>
    </w:p>
    <w:p>
      <w:r>
        <w:t>FR: TF 9C_176/2008 du 19 juin 2008</w:t>
      </w:r>
    </w:p>
    <w:p>
      <w:r>
        <w:t>IT: TF 9C_176/2008 del 19 giugno 2008</w:t>
      </w:r>
    </w:p>
    <w:p>
      <w:pPr>
        <w:pStyle w:val="Heading2"/>
      </w:pPr>
      <w:r>
        <w:t>Erwägungen</w:t>
      </w:r>
    </w:p>
    <w:p>
      <w:r>
        <w:rPr>
          <w:b/>
        </w:rPr>
        <w:t>E. 1</w:t>
      </w:r>
    </w:p>
    <w:p>
      <w:r>
        <w:t>Die Beschwerde in öffentlich-rechtlichen Angelegenheiten ( Art. 82 ff. BGG )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vgl. BGE 132 V 393 zur auch unter der Herrschaft des BGG gültigen Abgrenzung von Tat- und Rechtsfragen im Bereich der Invaliditätsbemessung [ Art. 16 ATSG ] für die Ermittlung des Invaliditätsgrades nach Art. 28 Abs. 1 IVG ).</w:t>
      </w:r>
    </w:p>
    <w:p>
      <w:r>
        <w:rPr>
          <w:b/>
        </w:rPr>
        <w:t>E. 2</w:t>
      </w:r>
    </w:p>
    <w:p>
      <w:r>
        <w:t>Im angefochtenen Entscheid werden die Bestimmungen über den Begriff der Invalidität ( Art. 8 ATSG [in der bis Ende Dezember 2007 gültigen Fassung], Art. 4 IVG ), die Voraussetzungen für einen Rentenanspruch und dessen Umfang ( Art. 28 Abs. 1 IVG [in der bis Ende Dezember 2007 gültigen Fassung]) sowie die Ermittlung des Invaliditätsgrades bei erwerbstätigen Versicherten nach der allgemeinen Methode des Einkommensvergleichs ( Art. 28 Abs. 2 IVG [in der bis Ende Dezember 2007 gültigen Fassung], Art. 16 ATSG ) sowie die diesbezügliche Rechtsprechung zutreffend dargelegt. Darauf wird verwiesen.</w:t>
      </w:r>
    </w:p>
    <w:p>
      <w:r>
        <w:rPr>
          <w:b/>
        </w:rPr>
        <w:t>E. 3</w:t>
      </w:r>
    </w:p>
    <w:p>
      <w:r>
        <w:t>Die Vorinstanz hat die gesamte Aktenlage pflichtgemäss gewürdigt und mit einlässlicher und nachvollziehbarer Begründung erkannt, dass der Sachverhalt vollständig abgeklärt ist; sie hat in tatsächlicher Hinsicht festgestellt, dass aus medizinischer Sicht - somatisch und psychisch - keine Einschränkung der Arbeitsfähigkeit vorliegt (E. 2-3, insbesondere E. 3.3). Darauf wird verwiesen. Der Beschwerdeführer setzt sich mit dem angefochtenen Entscheid kaum auseinander, sondern behauptet einfach unter Berufung auf die behandelnden Ärzte das Gegenteil dessen, was die Vorinstanz in gesundheitlich-leistungsmässiger Hinsicht verständlich festgestellt hat (E.1). Die Rüge, es sei zu Unrecht kein Bericht des behandelnden Psychiaters Dr. med. H.________ eingeholt worden, dringt nicht durch. Nach der Rechtsprechung sind Berichte der behandelnden Ärzte auf Grund deren auftragsrechtlichen Vertrauensstellung zum Patienten grundsätzlich mit Vorbehalt zu würdigen ( BGE 125 V 351 E. 3b/cc S. 353). Dies gilt für den allgemein praktizierenden Hausarzt, den behandelnden Spezialarzt und namentlich für den therapeutisch tätigen Psychiater mit seinem besonderen Vertrauensverhältnis zum Patienten, welches die geklagten Beschwerden als Faktum hinzunehmen hat (siehe auch Urteil vom 20. März 2006 [I 655/05] E. 5.4). Ferner ist vor einer Rückweisung zur Einholung eines (weiteren) psychiatrischen Gutachtens eine antizipierte Beweiswürdigung im Lichte der in BGE 131 V 49 und 130 V 352 statuierten Morbiditätskriterien angezeigt. Wie die Vorinstanz verbindlich dargelegt hat, ist hier nicht ersichtlich, welche neuen Erkenntnisse von der Einholung weiterer medizinischer Berichte zu erwarten sind. Der erhobene Vorwurf einer Verletzung des rechtlichen Gehörs ist daher unbegründet.</w:t>
      </w:r>
    </w:p>
    <w:p>
      <w:r>
        <w:rPr>
          <w:b/>
        </w:rPr>
        <w:t>E. 4</w:t>
      </w:r>
    </w:p>
    <w:p>
      <w:r>
        <w:t>Die Beschwerde hatte keine Aussicht auf Erfolg, weshalb sie im vereinfachten Verfahren nach Art. 109 Abs. 2 lit. a BGG als offensichtlich unbegründet, ohne Schriftenwechsel und mit summarischer Begründung erledigt wird.</w:t>
      </w:r>
    </w:p>
    <w:p>
      <w:r>
        <w:rPr>
          <w:b/>
        </w:rPr>
        <w:t>E. 5</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