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9C_175/2020 vom 11. März 2020</w:t>
      </w:r>
    </w:p>
    <w:p>
      <w:r>
        <w:t>Bundesgericht, 2020-03-11, DE</w:t>
      </w:r>
    </w:p>
    <w:p>
      <w:r>
        <w:rPr>
          <w:b/>
        </w:rPr>
        <w:t xml:space="preserve">Quelle: </w:t>
      </w:r>
      <w:r>
        <w:t>https://mcp.opencaselaw.ch/entscheid/bger_9C_175_2020</w:t>
      </w:r>
    </w:p>
    <w:p>
      <w:r>
        <w:t>FR: TF 9C_175/2020 du 11 mars 2020</w:t>
      </w:r>
    </w:p>
    <w:p>
      <w:r>
        <w:t>IT: TF 9C_175/2020 del 11 marzo 2020</w:t>
      </w:r>
    </w:p>
    <w:p>
      <w:pPr>
        <w:pStyle w:val="Heading2"/>
      </w:pPr>
      <w:r>
        <w:t>Volltext</w:t>
      </w:r>
    </w:p>
    <w:p>
      <w:r>
        <w:t>Bundesgericht</w:t>
      </w:r>
    </w:p>
    <w:p>
      <w:r>
        <w:t>Tribunal fédéral</w:t>
      </w:r>
    </w:p>
    <w:p>
      <w:r>
        <w:t>Tribunale federale</w:t>
      </w:r>
    </w:p>
    <w:p>
      <w:r>
        <w:t>Tribunal federal</w:t>
      </w:r>
    </w:p>
    <w:p>
      <w:r>
        <w:t>9C_175/2020</w:t>
      </w:r>
    </w:p>
    <w:p>
      <w:r>
        <w:t>Urteil vom 11. März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6. Dezember 2019 (IV.2019.00021).</w:t>
      </w:r>
    </w:p>
    <w:p>
      <w:r>
        <w:t>Nach Einsicht</w:t>
      </w:r>
    </w:p>
    <w:p>
      <w:r>
        <w:t>in die dem Bundesgericht weitergeleitete Eingabe der A.________ vom 10. Februar 2020 (Poststempel) gegen den Entscheid des Sozialversicherungsgerichts des Kantons Zürich vom 6. Dezember 2019,</w:t>
      </w:r>
    </w:p>
    <w:p>
      <w:r>
        <w:t>in die Verfügung des Bundesgerichts vom 14. Februar 2020, worin das in der Eingabe vom 10. Februar 2020 gestellte Gesuch um Erstreckung der Beschwerdefrist abgewiesen wurde,</w:t>
      </w:r>
    </w:p>
    <w:p>
      <w:r>
        <w:t>in die darauf erfolgte Eingabe der Versicherten vom 2. März 2020 (Poststempel),</w:t>
      </w:r>
    </w:p>
    <w:p>
      <w:r>
        <w:t>in Erwägung,</w:t>
      </w:r>
    </w:p>
    <w:p>
      <w:r>
        <w:t>dass der Entscheid der Vorinstanz vom 6. Dezember 2019 gemäss postamtlicher Bescheinigung am 13. Januar 2020 der damaligen Rechtsvertreterin der Beschwerdeführerin ausgehändigt worden ist,</w:t>
      </w:r>
    </w:p>
    <w:p>
      <w:r>
        <w:t>dass damit die 30-tägige Rechtsmittelfrist ( Art. 100 Abs. 1 BGG ) am 12. Februar 2020 abgelaufen ist ( Art. 44 - 48 BGG ),</w:t>
      </w:r>
    </w:p>
    <w:p>
      <w:r>
        <w:t>dass ein Rechtsmittel gemäss Art. 42 Abs. 1 und 2 BGG unter anderem die Begehren und deren Begründung zu enthalten hat, wobei in der Begründung in gedrängter Form darzulegen ist, inwiefern der angefochtene Entscheid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die innert der Beschwerdefrist dem Bundesgericht am 14. Februar 2020 zugestellte Eingabe vom 10. Februar 2020 den genannten Mindestanforderungen in keiner Weise genügt, weil sowohl ein Begehren als auch eine sachbezogene Begründung, d.h. namentlich eine konkrete Auseinandersetzung mit den Erwägungen des angefochtenen vorinstanzlichen Entscheids, gänzlich fehlen,</w:t>
      </w:r>
    </w:p>
    <w:p>
      <w:r>
        <w:t>dass die Eingabe vom 2. März 2020 nach Ablauf der Rechtsmittelfrist eingereicht wurde und daher zum Vornherein nicht berücksichtigt werden kann,</w:t>
      </w:r>
    </w:p>
    <w:p>
      <w:r>
        <w:t>dass deshalb im vereinfachten Verfahren nach Art. 108 Abs. 1 lit. b BGG auf die Beschwerde nicht einzutreten ist,</w:t>
      </w:r>
    </w:p>
    <w:p>
      <w:r>
        <w:t>dass in Anwendung von Art. 66 Abs. 1 Satz 2 BGG auf die Erhebung von Gerichtskosten umständehalber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März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