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175/2019 vom 6. Mai 2019</w:t>
      </w:r>
    </w:p>
    <w:p>
      <w:r>
        <w:t>Bundesgericht, 2019-05-06, DE</w:t>
      </w:r>
    </w:p>
    <w:p>
      <w:r>
        <w:rPr>
          <w:b/>
        </w:rPr>
        <w:t xml:space="preserve">Quelle: </w:t>
      </w:r>
      <w:r>
        <w:t>https://mcp.opencaselaw.ch/entscheid/bger_9C_175_2019</w:t>
      </w:r>
    </w:p>
    <w:p>
      <w:r>
        <w:t>FR: TF 9C 175/2019 du 6 mai 2019</w:t>
      </w:r>
    </w:p>
    <w:p>
      <w:r>
        <w:t>IT: TF 9C 175/2019 del 6 maggio 2019</w:t>
      </w:r>
    </w:p>
    <w:p>
      <w:pPr>
        <w:pStyle w:val="Heading2"/>
      </w:pPr>
      <w:r>
        <w:t>Regeste</w:t>
      </w:r>
    </w:p>
    <w:p>
      <w:r>
        <w:t>Alters- und Hinterlassenenversicherung (Erlass der Rückerstattung) | Alters- und Hinterlassenenversicherung</w:t>
      </w:r>
    </w:p>
    <w:p>
      <w:pPr>
        <w:pStyle w:val="Heading2"/>
      </w:pPr>
      <w:r>
        <w:t>Erwägungen</w:t>
      </w:r>
    </w:p>
    <w:p>
      <w:r>
        <w:rPr>
          <w:b/>
        </w:rPr>
        <w:t>E. 1.1</w:t>
      </w:r>
    </w:p>
    <w:p>
      <w:r>
        <w:t>Die praktisch identischen Beschwerden der Ausgleichskasse richten sich gegen weitestgehend deckungsgleiche vorinstanzliche Entscheide betreffend die beiden Ehegatten (mit derselben Rechtsvertretung). Weil es daher um die gleichen Sachverhalte geht und sich die nämlichen Rechtsfragen stellen, rechtfertigt es sich, die beiden Verfahren zu vereinigen und in einem einzigen Urteil zu erledigen (vgl. Art. 71 BGG in Verbindung mit Art. 24 BZP [SR 273]; BGE 144 V 173 E. 1.1 S. 175 mit Hinweis).</w:t>
      </w:r>
    </w:p>
    <w:p>
      <w:r>
        <w:rPr>
          <w:b/>
        </w:rPr>
        <w:t>E. 1.2</w:t>
      </w:r>
    </w:p>
    <w:p>
      <w:r>
        <w:t>Weil die Ausgleichskasse - bei Bejahung der grossen (wirtschaftlichen) Härte - zufolge des kantonalen Rückweisungsentscheids gezwungen wäre, eine ihres Erachtens rechtswidrige Verfügung zu treffen (Erlass der Rückforderung), hat der vorinstanzliche (Zwischen-) Entscheid für sie rechtsprechungsgemäss einen nicht wiedergutzumachenden Nachteil im Sinne von Art. 93 Abs. 1 lit. a BGG zur Folge und ist deshalb seitens der Verwaltung selbständig anfechtbar ( BGE 144 V 280 E. 1.2 S. 283; 140 V 282 ; SVR 2017 AHV Nr. 3 S. 5, 9C_413/2016 E. 1).</w:t>
      </w:r>
    </w:p>
    <w:p>
      <w:r>
        <w:rPr>
          <w:b/>
        </w:rPr>
        <w:t>E. 2.1</w:t>
      </w:r>
    </w:p>
    <w:p>
      <w:r>
        <w:t>Wer Leistungen in gutem Glauben empfangen hat, muss sie nicht zurückerstatten, wenn eine grosse Härte vorliegt (Art. 25 Abs. 1 zweiter Satz ATSG [SR 830.1]; vgl. auch Art. 4 Abs. 1 ATSV [SR 830.11]). Wie das kantonale Gericht zutreffend dargelegt hat,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112 V 97 E. 2c S. 103; SVR 2019 IV Nr. 6 S. 18, 8C_353/2018 E. 3.1).</w:t>
      </w:r>
    </w:p>
    <w:p>
      <w:r>
        <w:rPr>
          <w:b/>
        </w:rPr>
        <w:t>E. 2.2</w:t>
      </w:r>
    </w:p>
    <w:p>
      <w:r>
        <w:t>Mit Bezug auf die Überprüfungsbefugnis des Bundesgerichts unterscheidet die Rechtsprechung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nach Art. 105 Abs. 1 BGG für das Bundesgericht verbindlich beantwortet. Demgegenüber gilt die Frage nach der gebotenen Aufmerksamkeit als frei überprüfbare Rechtsfrage, soweit es darum geht festzustellen, ob sich jemand angesichts der jeweiligen tatsächlichen Verhältnisse auf den guten Glauben berufen kann ( BGE 122 V 221 E. 3 S. 223; SVR 2019 IV Nr. 6 S. 18, 8C_353/2018 E. 3.1; 2018 IV Nr. 70 S. 225, 9C_847/2017 E. 2.2).</w:t>
      </w:r>
    </w:p>
    <w:p>
      <w:r>
        <w:rPr>
          <w:b/>
        </w:rPr>
        <w:t>E. 3</w:t>
      </w:r>
    </w:p>
    <w:p>
      <w:r>
        <w:t>Die Vorinstanz hat eine böswillige Absicht der beiden Beschwerdegegner für das Bundesgericht verbindlich verneint ( Art. 105 Abs. 1 und 2 BGG ). Mit Blick auf die eingangs geschilderten Umstände (Sachverhalt lit. A) hat das kantonale Gericht überdies den Versicherten zu Recht kein grobfahrlässiges Verhalten angelastet:</w:t>
      </w:r>
    </w:p>
    <w:p>
      <w:r>
        <w:rPr>
          <w:b/>
        </w:rPr>
        <w:t>E. 3.1</w:t>
      </w:r>
    </w:p>
    <w:p>
      <w:r>
        <w:t>Dass bei der gegebenen Auswahl ("ledig, verheiratet, verwitwet, geschieden oder richterlich getrennt?") eine von ihrem Ehemann (wenn auch bloss aussergerichtlich) getrennt lebende juristische Laiin dem Irrtum unterliegt, "richterlich getrennt" umschreibe noch am ehesten ihre tatsächliche Situation und deshalb ihr Kreuz im Anmeldeformular an dieser Stelle anbringt, ist jedenfalls für sich allein kein Beleg für grobe Nachlässigkeit. Dies umso weniger, als sie gleichzeitig die entsprechenden vollständigen Unterlagen einreichte, aus denen für die Fachleute der Ausgleichskasse unzweideutig hervorging, dass das Ehepaar nicht gerichtlich getrennt war und demzufolge keinen Anspruch auf unplafonierte Altersrenten besass ( Art. 35 Abs. 2 AHVG ). Entgegen der Auffassung der Ausgleichskasse ändert auch nichts, dass die Beschwerdegegnerin über eine Ausbildung zur kaufmännischen Angestellten (und der Beschwerdegegner über eine solche zum Polizeibeamten) verfügt.</w:t>
      </w:r>
    </w:p>
    <w:p>
      <w:r>
        <w:rPr>
          <w:b/>
        </w:rPr>
        <w:t>E. 3.2</w:t>
      </w:r>
    </w:p>
    <w:p>
      <w:r>
        <w:t>Selbst wenn bei den Versicherten - wie die Ausgleichskasse unterstellt - nach erfolgter Rentenanmeldung durch die Ehefrau (im Mai 2013) Zweifel in Bezug auf ihre Qualifikation als "gerichtlich getrennt" oder bloss "aussergerichtlich getrennt" hätten aufkeimen müssen, wären solche durch das hievor (Sachverhalt lit. A) wörtlich zitierte Schreiben der Verwaltung vom 18. Juni 2013 umgehend zerstreut worden. Der erste Satz der - wie erwähnt - von beiden Eheleuten zur Kenntnis genommenen Mitteilung kann nämlich nicht anders verstanden werden, als dass die zuständige Sachbearbeiterin die eingereichten Unterlagen (aussergerichtliche Trennungsvereinbarung und Abschreibungsverfügung des Bezirksgerichts Zürich) geprüft habe und dass das Ehepaar gestützt auf diese Unterlagen als seit 21. September 2007 gerichtlich getrennt zu betrachten sei. Gegenüber dem Beschwerdegegner wurde diese falsche Information in der neuen Rentenverfügung vom 1. Juli 2013 wiederholt. Bei allem Verständnis für die Belange der Massenverwaltung durften die Beschwerdegegner die erwähnten Äusserungen der Ausgleichskasse zum Nennwert nehmen. Unter den geschilderten Gegebenheiten von den Versicherten eine Nachfrage bei der Verwaltung zu verlangen, hiesse die Anforderungen an die zumutbare Aufmerksamkeit überzustrapazieren.</w:t>
      </w:r>
    </w:p>
    <w:p>
      <w:r>
        <w:rPr>
          <w:b/>
        </w:rPr>
        <w:t>E. 4</w:t>
      </w:r>
    </w:p>
    <w:p>
      <w:r>
        <w:t>Weil die Vorinstanz nach dem Gesagten Grobfahrlässigkeit zu Recht verneinte und den Beschwerdegegnern damit gutgläubigen Bezug der unplafonierten Altersrenten bescheinigte, kommt die Ausgleichskasse nicht darum herum, die weitere Erlassvoraussetzung der wirtschaftlich grossen Härte zu prüfen.</w:t>
      </w:r>
    </w:p>
    <w:p>
      <w:r>
        <w:rPr>
          <w:b/>
        </w:rPr>
        <w:t>E. 5</w:t>
      </w:r>
    </w:p>
    <w:p>
      <w:r>
        <w:t>Als unterliegende Partei hat die Beschwerdeführerin die Gerichtskosten zu tragen (Art. 66 Abs. 1 erster Satz BGG). Den Beschwerdegegnern, die nicht zur Vernehmlassung eingeladen wurden, sind keine entschädigungspflichtigen Kosten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