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9C_174/2024 vom 24. April 2024</w:t>
      </w:r>
    </w:p>
    <w:p>
      <w:r>
        <w:t>Bundesgericht, 2024-04-24, DE</w:t>
      </w:r>
    </w:p>
    <w:p>
      <w:r>
        <w:rPr>
          <w:b/>
        </w:rPr>
        <w:t xml:space="preserve">Quelle: </w:t>
      </w:r>
      <w:r>
        <w:t>https://mcp.opencaselaw.ch/entscheid/bger_9C_174_2024</w:t>
      </w:r>
    </w:p>
    <w:p>
      <w:r>
        <w:t>FR: TF 9C_174/2024 du 24 avril 2024</w:t>
      </w:r>
    </w:p>
    <w:p>
      <w:r>
        <w:t>IT: TF 9C_174/2024 del 24 aprile 2024</w:t>
      </w:r>
    </w:p>
    <w:p>
      <w:pPr>
        <w:pStyle w:val="Heading2"/>
      </w:pPr>
      <w:r>
        <w:t>Volltext</w:t>
      </w:r>
    </w:p>
    <w:p>
      <w:r>
        <w:t>Bundesgericht</w:t>
      </w:r>
    </w:p>
    <w:p>
      <w:r>
        <w:t>Tribunal fédéral</w:t>
      </w:r>
    </w:p>
    <w:p>
      <w:r>
        <w:t>Tribunale federale</w:t>
      </w:r>
    </w:p>
    <w:p>
      <w:r>
        <w:t>Tribunal federal</w:t>
      </w:r>
    </w:p>
    <w:p>
      <w:r>
        <w:t>9C_174/2024</w:t>
      </w:r>
    </w:p>
    <w:p>
      <w:r>
        <w:t>Urteil vom 24. April 2024</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Kantonales Steueramt Zürich,</w:t>
      </w:r>
    </w:p>
    <w:p>
      <w:r>
        <w:t>Dienstabteilung Recht, Bändliweg 21, 8090 Zürich,</w:t>
      </w:r>
    </w:p>
    <w:p>
      <w:r>
        <w:t>Beschwerdegegner.</w:t>
      </w:r>
    </w:p>
    <w:p>
      <w:r>
        <w:t>Gegenstand</w:t>
      </w:r>
    </w:p>
    <w:p>
      <w:r>
        <w:t>Staats- und Gemeindesteuern des Kantons Zürich</w:t>
      </w:r>
    </w:p>
    <w:p>
      <w:r>
        <w:t>und direkte Bundessteuer, Steuerperiode 2018 (Prozessvoraussetzung),</w:t>
      </w:r>
    </w:p>
    <w:p>
      <w:r>
        <w:t>Beschwerde gegen die Verfügung des Verwaltungsgerichts des Kantons Zürich vom 15. Februar 2024 (SB.2024.00010, SB.2024.00011).</w:t>
      </w:r>
    </w:p>
    <w:p>
      <w:r>
        <w:t>Nach Einsicht</w:t>
      </w:r>
    </w:p>
    <w:p>
      <w:r>
        <w:t>in die gegen die (Nichteintretens-) Verfügung des Verwaltungsgerichts des Kantons Zürich vom 15. Februar 2024 erhobene Beschwerde vom 15. März 2024 (Poststempel) und das Gesuch um unentgeltliche Rechtspflege im Sinne der unentgeltlichen Prozessführung,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9C_230/2023 vom 3. April 2023 mit Hinweisen),</w:t>
      </w:r>
    </w:p>
    <w:p>
      <w:r>
        <w:t>dass das kantonale Gericht auf die bei ihm eingereichte Beschwerde nicht eingetreten ist, da die Beschwerdeführer sich trotz entsprechender Aufforderung auch innert der ihnen angesetzten (Nach-) Frist nicht sachbezüglich mit dem angefochtenen steuerrekursgerichtlichen Entscheid vom 31. Oktober 2023 befasst resp. ihre Eingaben nicht verbessert hätten,</w:t>
      </w:r>
    </w:p>
    <w:p>
      <w:r>
        <w:t>dass der Beschwerdeführer sich letztinstanzlich in keiner Weise zu den Gründen äussert, welche die Vorinstanz zu ihrem Nichteintretensbeschluss bewogen haben, sondern erneut (materiellrechtliche) Argumente vorträgt, denen schon im vorangegangenen Beschwerdeverfahren keine entscheidwesentliche Bedeutung zukam,</w:t>
      </w:r>
    </w:p>
    <w:p>
      <w:r>
        <w:t>dass die Eingabe den genannten inhaltlichen Mindestanforderungen an eine Beschwerde demnach nicht genügt, weshalb darauf im vereinfachten Verfahren nach Art. 108 Abs. 1 lit. b BGG nicht einzutreten ist,</w:t>
      </w:r>
    </w:p>
    <w:p>
      <w:r>
        <w:t>dass in Anwendung von Art. 66 Abs. 1 Satz 2 BGG auf die Erhebung von Gerichtskosten verzichtet wird,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2. Abteilung, und der Eidgenössischen Steuerverwaltung schriftlich mitgeteilt.</w:t>
      </w:r>
    </w:p>
    <w:p>
      <w:r>
        <w:t>Luzern, 24. April 2024</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