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9C_173/2023 vom 8. März 2023</w:t>
      </w:r>
    </w:p>
    <w:p>
      <w:r>
        <w:t>Bundesgericht, 2023-03-08, DE</w:t>
      </w:r>
    </w:p>
    <w:p>
      <w:r>
        <w:rPr>
          <w:b/>
        </w:rPr>
        <w:t xml:space="preserve">Quelle: </w:t>
      </w:r>
      <w:r>
        <w:t>https://mcp.opencaselaw.ch/entscheid/bger_9C_173_2023</w:t>
      </w:r>
    </w:p>
    <w:p>
      <w:r>
        <w:t>FR: TF 9C_173/2023 du 8 mars 2023</w:t>
      </w:r>
    </w:p>
    <w:p>
      <w:r>
        <w:t>IT: TF 9C_173/2023 del 8 marzo 2023</w:t>
      </w:r>
    </w:p>
    <w:p>
      <w:pPr>
        <w:pStyle w:val="Heading2"/>
      </w:pPr>
      <w:r>
        <w:t>Volltext</w:t>
      </w:r>
    </w:p>
    <w:p>
      <w:r>
        <w:t>Bundesgericht</w:t>
      </w:r>
    </w:p>
    <w:p>
      <w:r>
        <w:t>Tribunal fédéral</w:t>
      </w:r>
    </w:p>
    <w:p>
      <w:r>
        <w:t>Tribunale federale</w:t>
      </w:r>
    </w:p>
    <w:p>
      <w:r>
        <w:t>Tribunal federal</w:t>
      </w:r>
    </w:p>
    <w:p>
      <w:r>
        <w:t>9C_173/2023</w:t>
      </w:r>
    </w:p>
    <w:p>
      <w:r>
        <w:t>Urteil vom 8. März 2023</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Gemeinde Rüti ZH,</w:t>
      </w:r>
    </w:p>
    <w:p>
      <w:r>
        <w:t>Durchführungstelle für Zusatzleistungen zur AHV/IV, Breitenhofstrasse 30, 8630 Rüti ZH,</w:t>
      </w:r>
    </w:p>
    <w:p>
      <w:r>
        <w:t>Beschwerdegegnerin.</w:t>
      </w:r>
    </w:p>
    <w:p>
      <w:r>
        <w:t>Gegenstand</w:t>
      </w:r>
    </w:p>
    <w:p>
      <w:r>
        <w:t>Ergänzungsleistung zur AHV/IV,</w:t>
      </w:r>
    </w:p>
    <w:p>
      <w:r>
        <w:t>Beschwerde gegen das Urteil</w:t>
      </w:r>
    </w:p>
    <w:p>
      <w:r>
        <w:t>des Sozialversicherungsgerichts des Kantons Zürich</w:t>
      </w:r>
    </w:p>
    <w:p>
      <w:r>
        <w:t>vom 13. Dezember 2022 (ZL.2021.00099).</w:t>
      </w:r>
    </w:p>
    <w:p>
      <w:r>
        <w:t>Nach Einsicht</w:t>
      </w:r>
    </w:p>
    <w:p>
      <w:r>
        <w:t>in die Beschwerde vom 22. Februar 2023 (Poststempel) gegen das Urteil des Sozialversicherungsgerichts des Kantons Zürich vom 13. Dezember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inwiefern die vorinstanzlichen Sachverhaltsfeststellungen im Sinne von Art. 97 Abs. 1 BGG - soweit überhaupt beanstandet - unzutreffend (unhaltbar, willkürlich; BGE 140 V 22 E. 7.3.1; 135 II 145 E. 8.1) oder die darauf beruhenden Erwägungen rechtsfehlerhaft sein sollen (vgl. Art. 95 BGG ),</w:t>
      </w:r>
    </w:p>
    <w:p>
      <w:r>
        <w:t>dass die Eingabe vom 22. Februar 2023 diesen Mindestanforderungen offensichtlich nicht genügt, da sich der Beschwerdeführer darauf beschränkt, verschiedene Fragen aufzulisten und pauschal seinen Unmut über die Berechnung seines Anspruchs auf Zusatzleistungen auszudrücken,</w:t>
      </w:r>
    </w:p>
    <w:p>
      <w:r>
        <w:t>dass er es unterlässt, sich in rechtsgenüglicher Weise mit den vorinstanzlichen Erwägungen auseinanderzusetzen, wonach seine Einwände gegen die von der Beschwerdegegnerin vorgenommene Berechnung unbegründet seien, indem darin korrekterweise das Mietzinsmaximum von monatlich Fr. 1'100.- bzw. jährlich Fr. 13'200.- sowie das jeweils am 1. Januar des Bezugsjahres vorhandene Vermögen berücksichtigt worden seien (vgl. dazu Art. 10 Abs. 1 lit. b Ziff. 1 und Art. 11 Abs. 1 lit. c ELG [je in den bis 31. Dezember 2020 gültig gewesenen Fassungen] in Verbindung mit Art. 23 Abs. 1 ELV ),</w:t>
      </w:r>
    </w:p>
    <w:p>
      <w:r>
        <w:t>dass der Beschwerdeführer jegliche Bezugnahme auf das vorinstanzliche Urteil auch insoweit vermissen lässt, als er eine Verletzung von Art. 43 ATSG rügt,</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8. März 2023</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