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9C_172/2016 vom 27. Mai 2016</w:t>
      </w:r>
    </w:p>
    <w:p>
      <w:r>
        <w:t>Bundesgericht, 2016-05-27, DE</w:t>
      </w:r>
    </w:p>
    <w:p>
      <w:r>
        <w:rPr>
          <w:b/>
        </w:rPr>
        <w:t xml:space="preserve">Quelle: </w:t>
      </w:r>
      <w:r>
        <w:t>https://mcp.opencaselaw.ch/entscheid/bger_9C_172_2016</w:t>
      </w:r>
    </w:p>
    <w:p>
      <w:r>
        <w:t>FR: TF 9C_172/2016 du 27 mai 2016</w:t>
      </w:r>
    </w:p>
    <w:p>
      <w:r>
        <w:t>IT: TF 9C_172/2016 del 27 maggio 2016</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war und ist der Taggeld-Anspruch im Wesentlichen in Bezug auf die Arbeits (un) fähigkeit (vgl. Art. 72 KVG ; Art. 13 der Allgemeinen Versicherungsbedingungen [AVB] für die Helsana Business Salary Kollektiv-Taggeldversicherung nach KVG [in der ab 1. Januar 2007 geltenden Fassung]) ab dem 16. März 2015.</w:t>
      </w:r>
    </w:p>
    <w:p>
      <w:r>
        <w:t>Die Vorinstanz hat dem Bericht des Dr. med. C.________ vom 19. Februar 2015 Beweiskraft beigemessen und gestützt darauf eine uneingeschränkte Arbeitsfähigkeit ab dem 16. März 2015 festgestellt. Folglich hat sie einen Anspruch auf Krankentaggelder ab diesem Zeitpunkt verneint.</w:t>
      </w:r>
    </w:p>
    <w:p>
      <w:r>
        <w:rPr>
          <w:b/>
        </w:rPr>
        <w:t>E. 3.1</w:t>
      </w:r>
    </w:p>
    <w:p>
      <w:r>
        <w:t>Vorab ist auf die Rüge formeller Natur einzugehen. Das kantonale Gericht hat die als wesentlich und erstellt erachteten Tatsachen und die daraus gezogenen rechtlichen Schlüsse nachvollziehbar dargelegt, und eine sachgerechte Anfechtung des vorinstanzlichen Erkenntnisses war möglich (vgl. BGE 134 I 83 E. 4.1 S. 88; 133 III 439 E. 3.3 S. 445; 124 V 180 E. 1a S. 181). Daher kann nicht von einer Verletzung der aus dem Anspruch auf rechtliches Gehör nach Art. 29 Abs. 2 BV sowie Art. 61 lit. h ATSG (SR 830.1) und Art. 112 Abs. 1 lit. b BGG abgeleiteten Prüfungs- und Begründungspflicht (Urteil 5A_368/2007 vom 18. September 2007 E. 2; vgl. auch BGE 135 V 353 E. 5.3 S. 357 ff.) gesprochen werden.</w:t>
      </w:r>
    </w:p>
    <w:p>
      <w:r>
        <w:rPr>
          <w:b/>
        </w:rPr>
        <w:t>E. 3.2</w:t>
      </w:r>
    </w:p>
    <w:p>
      <w:r>
        <w:t>Soweit die Helsana auf einen Kausalzusammenhang zwischen den Beschwerden und dem Unfall vom 18. Juni 2014 verweist, kann sie nichts für sich ableiten. Eine Unfallkausalität steht ihrer Leistungspflicht nicht grundsätzlich entgegen. Wohl gehen Taggelder der Unfallversicherung jenen der Krankenversicherung vor ( Art. 110 KVV [SR 832.102]). Indessen wurde der Anspruch auf Taggelder der Unfallversicherung mit Verfügung vom 5. Januar 2015 bereits rechtskräftig verneint.</w:t>
      </w:r>
    </w:p>
    <w:p>
      <w:r>
        <w:rPr>
          <w:b/>
        </w:rPr>
        <w:t>E. 3.3</w:t>
      </w:r>
    </w:p>
    <w:p>
      <w:r>
        <w:t>Arbeitsunfähigkeit ist die durch eine Beeinträchtigung der körperlichen, geistigen oder psychischen Gesundheit bedingte, volle oder teilweise Unfähigkeit, im bisherigen Beruf oder Aufgabenbereich zumutbare Arbeit zu leisten ( Art. 6 ATSG i.V.m. Art. 1 Abs. 1 KVG ).</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3.4</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2). Die konkrete Beweiswürdigung stellt ebenfalls eine Tatfrage dar. Dagegen ist die Beachtung des Untersuchungsgrundsatzes und der Beweiswürdigungsregeln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3.5.1</w:t>
      </w:r>
    </w:p>
    <w:p>
      <w:r>
        <w:t>Es gibt keine Anhaltspunkte dafür, dass Dr. med. C.________ Angestellter oder Vertrauensarzt der Helsana sein soll. Dennoch hat die Vorinstanz seinen Bericht nicht als Gutachten im Sinne von Art. 44 ATSG betrachtet. Der Versicherte stimmt dem zu und leitet daraus ab, dass der Bericht Resultat einer verwaltungsinternen Abklärung sei, weshalb bereits geringe Zweifel an der Schlüssigkeit genügen sollen, dessen Beweiskraft zu erschüttern (vgl. BGE 135 V 465 E. 4.7 S. 471). Wie es sich damit verhält, kann offenbleiben, wie sich aus dem Folgenden ergibt.</w:t>
      </w:r>
    </w:p>
    <w:p>
      <w:r>
        <w:rPr>
          <w:b/>
        </w:rPr>
        <w:t>E. 3.5.2</w:t>
      </w:r>
    </w:p>
    <w:p>
      <w:r>
        <w:t>Dass der Vertrauensarzt der Helsana, Dr. med. D.________, mit Stellungnahmen vom 20. Februar und 18. Juni 2015ohne nähere Begründung die Einschätzung des Dr. med. C.________ bestätigte, lässt für sich allein keinen Rückschluss auf die Beweiskraft des hier interessierenden Berichts vom 19. Februar 2015 zu. Hingegen sind diesbezüglich die weiteren medizinischen Unterlagen näher zu betrachten.</w:t>
      </w:r>
    </w:p>
    <w:p>
      <w:r>
        <w:t>Die vom Hausarzt ausgestellten Arbeitsunfähigkeitszeugnisse enthalten zwar auch keine (genügende) Begründung. Indessen beruhen sie auf den durch den Arzt eingeholten und aktenkundigen radiologischen Befundberichten (MR und CT der Halswirbelsäule) vom 15. Oktober 2014 sowie den Konsiliarberichten des Spitals E.________ vom 3. Februar und vom 9. Juni 2015. In Ersteren wurden insbesondere "Mehretagendegeneration zervikal meist ausgeprägt C4/5, C5/6 mit Osteochondrosen; ubiquitäre Facettengelenksarthrose; schwere Arthrose atlantodental und Kostovertebralarthrose BWK 2 rechts" diagnostiziert. In Letzteren wurde zunächst empfohlen, "die weiteren Therapiesitzungen abzuwarten" und anschliessend schrittweise "die Reintegration in das Arbeitsleben in Angriff zu nehmen"; später wurde festgehalten, dass der Versicherte "zunächst weiter zu 100 % arbeitsunfähig" sei. Sodann vertrat der Kreisarzt der SUVA (in Kenntnis der radiologischen Berichte) die Auffassung, dass "die Arbeitsunfähigkeit wohl eher auf die degenerativen Veränderungen der HWS" als auf den Unfall vom Juni 2014 zurückzuführen sei, und dass die Degeneration "allein schon die Symptomatik erklären" könne (Berichte vom 13. November und 9. Dezember 2014). Diese Auffassungen von nicht behandelnden Fachärzten stehen in diametralem Gegensatz zu den Einschätzungen des Dr. med. C.________. Dieser nahm zwar explizit Kenntnis von den "in der CT-Abklärung beschriebenen Veränderungen", und dass fortgeschrittene Arthrosen "grundsätzlich mit einer Bewegungseinschränkung einhergehen können". Eine solche weise der Versicherte aber aktuell nicht auf. Zudem habe er vom Juli bis zum 13. Oktober 2014 trotz Angabe der maximalen Schmerzintensität sein Arbeitspensum zu 100 % erbracht. Somit würden die geschilderten Beschwerden nicht mit den klinischen und radiologischen Befunden korrelieren. Diese Ausführungen des Dr. med. C.________ enthalten keine einleuchtende Auseinandersetzung mit den diskrepanten Einschätzungen der übrigen involvierten Ärzte. Weiter ist nicht nachvollziehbar, inwiefern die Schmerzen durch die radiologischen Befunde erklärbar sind. Fraglich erscheint auch die freie Beweglichkeit der Halswirbelsäule bei gleichzeitiger Schmerzangabe. Zudem bleibt im Dunkeln, ob resp. inwieweit die körperlich schwere Tätigkeit als Bauarbeiter mit den objektiven Befunden vereinbar ist, zumal sich die Zumutbarkeit einer bestimmten Arbeitstätigkeit nicht schon daraus ergibt, dass sie unter Schmerzen über einen gewissen Zeitraum hinweg ausgeübt wurde. In diesem Zusammenhang ist denn auch unklar, ob die behauptete Zunahme der Schmerzen nach Wiederaufnahme der Arbeit am 16. März 2015 objektiv erklärbar ist.</w:t>
      </w:r>
    </w:p>
    <w:p>
      <w:r>
        <w:rPr>
          <w:b/>
        </w:rPr>
        <w:t>E. 3.5.3</w:t>
      </w:r>
    </w:p>
    <w:p>
      <w:r>
        <w:t>Nach dem Gesagten genügt der Bericht des Dr. med. C.________ vom 19. Februar 2015 den Anforderungen an die Beweiskraft (E. 3.3) klar nicht. Die einzig darauf beruhenden vorinstanzlichen Feststellungen betreffend die Arbeitsfähigkeit sind nicht haltbar (E. 1). Die Verwaltung wird diesbezüglich - unter Wahrung der Mitwirkungsrechte des Versicherten (vgl. HAVE 2015 186, 8C_386/2014 E. 4) - weitere Abklärungen zu treffen haben. Die Beschwerde ist begründet.</w:t>
      </w:r>
    </w:p>
    <w:p>
      <w:r>
        <w:rPr>
          <w:b/>
        </w:rPr>
        <w:t>E. 4</w:t>
      </w:r>
    </w:p>
    <w:p>
      <w:r>
        <w:t>Dem Ausgang des Verfahrens entsprechend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