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9C_172/2014 vom 18. Juni 2014</w:t>
      </w:r>
    </w:p>
    <w:p>
      <w:r>
        <w:t>Bundesgericht, 2014-06-18, FR</w:t>
      </w:r>
    </w:p>
    <w:p>
      <w:r>
        <w:rPr>
          <w:b/>
        </w:rPr>
        <w:t xml:space="preserve">Quelle: </w:t>
      </w:r>
      <w:r>
        <w:t>https://mcp.opencaselaw.ch/entscheid/bger_9C_172_2014</w:t>
      </w:r>
    </w:p>
    <w:p>
      <w:r>
        <w:t>FR: TF 9C_172/2014 du 18 juin 2014</w:t>
      </w:r>
    </w:p>
    <w:p>
      <w:r>
        <w:t>IT: TF 9C_172/2014 del 18 giugno 2014</w:t>
      </w:r>
    </w:p>
    <w:p>
      <w:pPr>
        <w:pStyle w:val="Heading2"/>
      </w:pPr>
      <w:r>
        <w:t>Erwägungen</w:t>
      </w:r>
    </w:p>
    <w:p>
      <w:r>
        <w:rPr>
          <w:b/>
        </w:rPr>
        <w:t>E. 1</w:t>
      </w:r>
    </w:p>
    <w:p>
      <w:r>
        <w:t>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arbitraire et si la correction du vice est susceptible d'influer sur le sort de la cause ( ATF 134 V 53 consid. 4.3 p. 62 et les références). Il appartient au recourant de démontrer le caractère arbitraire par une argumentation répondant aux exigences de l' art. 42 al. 2 LTF , respectivement de l' art. 106 al. 2 LTF ( ATF 133 II 249 consid. 1.4.3 p. 254 s.).</w:t>
      </w:r>
    </w:p>
    <w:p>
      <w:r>
        <w:rPr>
          <w:b/>
        </w:rPr>
        <w:t>E. 2</w:t>
      </w:r>
    </w:p>
    <w:p>
      <w:r>
        <w:t>Compte tenu des conclusions du recours (cf. art. 107 al. 1 LTF ), le litige en instance fédérale porte uniquement sur le droit du recourant à une mesure d'ordre professionnel sous la forme d'un reclassement au sens de l' art. 17 LAI , en relation avec sa nouvelle demande du 13 octobre 2011. En plus de la teneur de cette disposition, le jugement entrepris expose de façon complète les règles légales et jurisprudentielles sur les conditions d'une révision prévue à l' art. 17 LPGA , dont il rappelle l'application par analogie à la situation de la nouvelle demande. Il suffit d'y renvoyer.</w:t>
      </w:r>
    </w:p>
    <w:p>
      <w:r>
        <w:rPr>
          <w:b/>
        </w:rPr>
        <w:t>E. 3.1</w:t>
      </w:r>
    </w:p>
    <w:p>
      <w:r>
        <w:t>Le recourant reproche tout d'abord à la juridiction cantonale d'avoir nié une péjoration de son état de santé qui aurait conduit à une augmentation du taux d'invalidité (depuis la décision du 25 mars 2010). Sur ce point, il se limite cependant à citer un passage du rapport du docteur E.________ (du 4 octobre 2011) dont on ne peut déduire une détérioration des atteintes à l'articulation du pied gauche. L'indication du médecin selon laquelle ces lésions ("ces facteurs") jouent un rôle prépondérant dans l'évolution du cas a trait à la relation de causalité des atteintes à la santé avec l'événement accidentel du 9 juillet 2011; elle ne permet pas de constater une aggravation durable des lésions et de leurs effets sur la capacité de travail (résiduelle) de l'assuré. Pour le reste, le recourant n'expose pas en quoi les constatations de l'autorité judiciaire de première instance, précisément fondées sur le rapport d'expertise du 4 octobre 2011 (consid. 3b du jugement entrepris), seraient manifestement inexactes. Il n'y a dès lors pas lieu de s'en écarter (consid. 1</w:t>
      </w:r>
    </w:p>
    <w:p>
      <w:r>
        <w:t>supra ).</w:t>
      </w:r>
    </w:p>
    <w:p>
      <w:r>
        <w:rPr>
          <w:b/>
        </w:rPr>
        <w:t>E. 3.2</w:t>
      </w:r>
    </w:p>
    <w:p>
      <w:r>
        <w:t>Le recourant s'en prend ensuite aux revenus déterminants retenus par les premiers juges pour l'évaluation du taux d'invalidité.</w:t>
      </w:r>
    </w:p>
    <w:p>
      <w:r>
        <w:rPr>
          <w:b/>
        </w:rPr>
        <w:t>E. 3.2.1</w:t>
      </w:r>
    </w:p>
    <w:p>
      <w:r>
        <w:t>Avec son argumentation, le recourant ne parvient pas à démontrer que la juridiction cantonale serait tombée dans l'arbitraire ou aurait violé le droit fédéral en reprenant les chiffres fournis par la société B.________ SA, pour déterminer le revenu sans invalidité à 51'600 fr. par an (4'300 fr. par mois, en 2011), montant légèrement supérieur à celui perçu antérieurement par l'assuré en qualité de chef de rang.</w:t>
      </w:r>
    </w:p>
    <w:p>
      <w:r>
        <w:t>On rappellera à cet égard que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 ATF 129 V 222 consid. 4.3.1 p. 224). Le recourant se réfère dès lors en vain (par renvoi à son recours cantonal) à un salaire mensuel de 4'800 fr. correspondant à celui prévu par la Convention collective de travail pour l'hôtellerie-restauration suisse (version au 1</w:t>
      </w:r>
    </w:p>
    <w:p>
      <w:r>
        <w:t>er janvier 2012) pour les "collaborateurs ayant réussi un examen professionnel fédéral conformément à l'art. 27 let. a) LFPr." (art. 10 al. 1 ch. IV). Il ressort des constatations des premiers juges que le recourant est titulaire d'un diplôme de serveur (ainsi que de celui de réceptionniste) délivrés par l'École hôtelière F.________ (Italie). Or, il n'explique pas en quoi ces diplômes seraient équivalents à un examen professionnel fédéral au sens de la disposition conventionnelle mentionnée et non pas, au contraire, à un certificat fédéral de capacité, pour les titulaires duquel le salaire mensuel brut minimum prévu par la Convention collective est de 4'100 fr. Le second montant de 5'633 fr. invoqué par le recourant n'est pas davantage pertinent, puisqu'il renvoie à des valeurs statistiques correspondant à un niveau de qualification requérant des connaissances professionnelles spécialisées, que l'assuré n'allègue pas (ni ne démontre) posséder.</w:t>
      </w:r>
    </w:p>
    <w:p>
      <w:r>
        <w:rPr>
          <w:b/>
        </w:rPr>
        <w:t>E. 3.2.2</w:t>
      </w:r>
    </w:p>
    <w:p>
      <w:r>
        <w:t>Quant au revenu d'invalide, les premiers juges l'ont à bon droit fixé en se référant aux données de l'Enquête suisse sur la structure des salaires, singulièrement sur les salaires mensuels bruts (groupe de tableaux A), en partant de la valeur centrale (médiane), tous secteurs d'activités confondus. Conformément à la jurisprudence ( ATF 126 V 75 consid. 3b/aa et bb p. 76 et les arrêts cités), il n'y a en effet pas lieu de faire une distinction pour le salaire d'invalide selon les groupes de professions particuliers ou des régions de travail. Par conséquent, la mention que fait le recourant d'un salaire de 4'402 fr., fondé sur les données statistiques pour le domaine de la restauration dans la région lémanique, ne lui est d'aucun secours.</w:t>
      </w:r>
    </w:p>
    <w:p>
      <w:r>
        <w:t>On ajoutera que le fait que le salaire d'invalide déterminé au moyen des données ESS est égal ou plus élevé que le revenu obtenu par l'assuré avant l'invalidité ne suffit pas à démontrer le caractère "irréaliste" (tel qu'exprimé par le recourant) de la méthode de référence aux salaires statistiques.</w:t>
      </w:r>
    </w:p>
    <w:p>
      <w:r>
        <w:rPr>
          <w:b/>
        </w:rPr>
        <w:t>E. 3.3</w:t>
      </w:r>
    </w:p>
    <w:p>
      <w:r>
        <w:t>Il résulte de ce qui précède que le recours est en tout point mal fondé.</w:t>
      </w:r>
    </w:p>
    <w:p>
      <w:r>
        <w:rPr>
          <w:b/>
        </w:rPr>
        <w:t>E. 4</w:t>
      </w:r>
    </w:p>
    <w:p>
      <w:r>
        <w:t>Vu l'issue du litige, les frais judiciaires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