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171/2022 vom 1. Februar 2023</w:t>
      </w:r>
    </w:p>
    <w:p>
      <w:r>
        <w:t>Bundesgericht, 2023-02-01, DE</w:t>
      </w:r>
    </w:p>
    <w:p>
      <w:r>
        <w:rPr>
          <w:b/>
        </w:rPr>
        <w:t xml:space="preserve">Quelle: </w:t>
      </w:r>
      <w:r>
        <w:t>https://mcp.opencaselaw.ch/entscheid/bger_9C_171_2022</w:t>
      </w:r>
    </w:p>
    <w:p>
      <w:r>
        <w:t>FR: TF 9C 171/2022 du 1 février 2023</w:t>
      </w:r>
    </w:p>
    <w:p>
      <w:r>
        <w:t>IT: TF 9C 171/2022 del 1 febbraio 2023</w:t>
      </w:r>
    </w:p>
    <w:p>
      <w:pPr>
        <w:pStyle w:val="Heading2"/>
      </w:pPr>
      <w:r>
        <w:t>Regeste</w:t>
      </w:r>
    </w:p>
    <w:p>
      <w:r>
        <w:t>Krankenversicherung | Krankenversicherung</w:t>
      </w:r>
    </w:p>
    <w:p>
      <w:pPr>
        <w:pStyle w:val="Heading2"/>
      </w:pPr>
      <w:r>
        <w:t>Erwägungen</w:t>
      </w:r>
    </w:p>
    <w:p>
      <w:r>
        <w:rPr>
          <w:b/>
        </w:rPr>
        <w:t>E. 1</w:t>
      </w:r>
    </w:p>
    <w:p>
      <w:r>
        <w:t>Mit der Beschwerde in öffentlich-rechtlichen Angelegenheiten kann namentlich die Verletzung von Bundesrecht (einschliesslich der verfassungsmässigen Rechte) gerügt werden ( Art. 95 lit. a BGG ). Die Verletzung von kantonalrechtlichen Bestimmungen stellt demgegenüber - vorbehältlich kantonaler verfassungsmässiger Rechte ( Art. 95 lit. c BGG ) oder politische Rechte umschreibender Normen ( Art. 95 lit. d BGG ) - keinen eigenständigen Beschwerdegrund dar. Sie kann nur insoweit angerufen werden, als damit zugleich Bundesrecht oder Völkerrecht verletzt wird. Im Vordergrund steht diesfalls die Verletzung verfassungsmässiger Rechte, insbesondere des Willkürverbots ( Art. 9 BV ). Nach der Rechtsprechung des Bundesgerichts verstösst ein Entscheid gegen dieses Verbot, wenn er im Ergebnis offensichtlich unhaltbar ist, weil er zum Beispiel eine Norm oder einen unumstrittenen Rechtsgrundsatz krass verletzt. Dass eine andere Lösung ebenfalls als vertretbar erscheint, genügt nicht. Für die Verletzung von Grundrechten und kantonalem Recht gilt eine qualifizierte Rügepflicht ( Art. 106 Abs. 2 BGG ). Das Bundesgericht untersucht nicht von sich aus, ob der angefochtene kantonale Entscheid die Grundrechte oder kantonales Recht verletzt, sondern prüft nur rechtsgenügend vorgebrachte, klar erhobene und, soweit möglich, belegte Rügen. Auf ungenügend begründete Rügen und bloss allgemein gehaltene, appellatorische Kritik am angefochtenen Entscheid geht es nicht ein ( Art. 42 Abs. 1 und 2 BGG ; zum Ganzen: Urteil 8C_165/2022 vom 23. Mai 2022 E. 2 mit Hinweisen).</w:t>
      </w:r>
    </w:p>
    <w:p>
      <w:r>
        <w:rPr>
          <w:b/>
        </w:rPr>
        <w:t>E. 2</w:t>
      </w:r>
    </w:p>
    <w:p>
      <w:r>
        <w:t>Der Beschwerdeführer rügt betreffend die angefochtene Verfügung vom 11. März 2022 eine Verletzung von Art. 30 (Abs. 1) BV. Er bringt vor, dass einzelrichterlich entschieden worden sei, obwohl dies gemäss kantonalem Verfahrensrecht (Einführungsgesetz zur Schweizerischen Zivilprozessordnung des Kantons Aargau vom 23. März 2010, EG ZPO/AG; SAR 221.200) nicht vorgesehen sei.</w:t>
      </w:r>
    </w:p>
    <w:p>
      <w:r>
        <w:rPr>
          <w:b/>
        </w:rPr>
        <w:t>E. 2.1</w:t>
      </w:r>
    </w:p>
    <w:p>
      <w:r>
        <w:t>Nachdem die Verletzung von Bundes (-verfassungs-) recht gerügt wird, ist die Beschwerde in öffentlich-rechtlichen Angelegenheiten zulässig (E. 1 hiervor) und die subsidiäre Verfassungsbeschwerde ( Art. 113 ff. BGG ) damit obsolet.</w:t>
      </w:r>
    </w:p>
    <w:p>
      <w:r>
        <w:rPr>
          <w:b/>
        </w:rPr>
        <w:t>E. 2.2</w:t>
      </w:r>
    </w:p>
    <w:p>
      <w:r>
        <w:t>Der Beschwerdeführer macht eine Verletzung von § 15 EG ZPO/ AG geltend, wonach ein hauptamtliches Mitglied des Versicherungsgerichts als Einzelrichterin oder Einzelrichter über die im summarischen Verfahren zu entscheidenden Angelegenheiten und Streitigkeiten befindet. Er bringt vor, über die Frage des Ausstands sei nicht im summarischen Verfahren zu urteilen. Damit könne darüber nicht einzelrichterlich entschieden werden. Der Beschwerdeführer begründet seine Ansicht nicht. Seine Rüge genügt daher im Lichte von Art. 106 Abs. 2 BGG nicht (E. 1 hiervor).</w:t>
      </w:r>
    </w:p>
    <w:p>
      <w:r>
        <w:rPr>
          <w:b/>
        </w:rPr>
        <w:t>E. 3.1</w:t>
      </w:r>
    </w:p>
    <w:p>
      <w:r>
        <w:t>Die Vorinstanz hat über den Ausstand von Prof. em. Dr. med. B.________ in Anwendung von § 16 Abs. 1 VRPG/AG entschieden. Rechtsprechungsgemäss ergeben sich die formellen Ablehnungsgründe eines Sachverständigen aus den allgemeinen Verfahrensgarantien gemäss Art. 29 Abs. 1 BV , die in dieser Hinsicht einen gleichwertigen Schutz wie Art. 30 Abs. 1 BV gewährleisten (vgl. Urteil 8C_592/2021 vom 4. Mai 2022 E. 6.1.1 mit Hinweisen). Ob die darin enthaltene Minimalgarantie eines unabhängig und unparteiisch erstellten Gutachtens ohne Einwirken sachfremder Umstände gewährleistet ist, ist vom Bundesgericht frei zu überprüfen (vgl. Urteil 9C_535/2021 vom 13. Mai 2022 E. 2.1 f. mit Hinweisen, insbesondere auf BGE 129 V 335 E. 1.3.2).</w:t>
      </w:r>
    </w:p>
    <w:p>
      <w:r>
        <w:rPr>
          <w:b/>
        </w:rPr>
        <w:t>E. 3.2</w:t>
      </w:r>
    </w:p>
    <w:p>
      <w:r>
        <w:t>Indem Prof. em. Dr. med. B.________ seine erste Einschätzung vom Oktober 2020 aufgrund der bereits vorliegenden Akten - ohne die vom Schiedsgericht aufgetragene Einholung einer repräsentativen Fallauswahl (Verfügung vom 10. Juni 2020) - vorgenommen hat, ist er seinem Auftrag nicht genügend nachgekommen, was die Beweiskraft seines Gutachtens beschlägt. Dies hat das Gericht erkannt und daher am 22. Juli 2021 um eine Ergänzung der Expertise gebeten. Inwiefern der Sachverständige befangen sein soll, erhellt indessen nicht. So ist er in seiner ersten Expertise unbestritten sowohl zu Schlüssen gelangt, die für den Beschwerdeführer sprechen, als auch zu solchen, die gegen ihn sprechen. Es sind keine Anhaltspunkte ersichtlich, weshalb er dies nicht auch im Rahmen der Berücksichtigung weiterer Patientendossiers so handhaben wird. Weder der Umstand, dass er bereits einmal ein "vollständiges und abgeschlossenes Gutachten vorgelegt" hat, noch, dass er sich (lediglich) zu einer "Ergänzung" bereit erklärt hat, lassen auf eine verfestigte Meinungsbildung und damit eine Voreingenommenheit schliessen. So war es die Pflicht des Experten, eine vollständige, abgeschlossene Expertise vorzulegen und sich gestützt auf die erhobenen Grundlagen eine endgültige Meinung zu bilden. Dies schliesst nicht aus, dass zusätzliche Erkenntnisse im Rahmen der Würdigung weiterer Daten seine Meinungsbildung beeinflussen können. Dass die Vorinstanz die Fälle schliesslich selbst vom Beschwerdeführer einverlangt hat, entspricht dem Wunsch des Sachverständigen (vgl. Stellungnahme vom 26. Juli 2021) und hat nichts mit der Einschätzung der Befangenheit des Experten durch das Gericht zu tun.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