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9C_171/2019 vom 19. März 2019</w:t>
      </w:r>
    </w:p>
    <w:p>
      <w:r>
        <w:t>Bundesgericht, 2019-03-19, DE</w:t>
      </w:r>
    </w:p>
    <w:p>
      <w:r>
        <w:rPr>
          <w:b/>
        </w:rPr>
        <w:t xml:space="preserve">Quelle: </w:t>
      </w:r>
      <w:r>
        <w:t>https://mcp.opencaselaw.ch/entscheid/bger_9C_171_2019</w:t>
      </w:r>
    </w:p>
    <w:p>
      <w:r>
        <w:t>FR: TF 9C_171/2019 du 19 mars 2019</w:t>
      </w:r>
    </w:p>
    <w:p>
      <w:r>
        <w:t>IT: TF 9C_171/2019 del 19 marzo 2019</w:t>
      </w:r>
    </w:p>
    <w:p>
      <w:pPr>
        <w:pStyle w:val="Heading2"/>
      </w:pPr>
      <w:r>
        <w:t>Volltext</w:t>
      </w:r>
    </w:p>
    <w:p>
      <w:r>
        <w:t>Bundesgericht</w:t>
      </w:r>
    </w:p>
    <w:p>
      <w:r>
        <w:t>Tribunal fédéral</w:t>
      </w:r>
    </w:p>
    <w:p>
      <w:r>
        <w:t>Tribunale federale</w:t>
      </w:r>
    </w:p>
    <w:p>
      <w:r>
        <w:t>Tribunal federal</w:t>
      </w:r>
    </w:p>
    <w:p>
      <w:r>
        <w:t>9C_171/2019</w:t>
      </w:r>
    </w:p>
    <w:p>
      <w:r>
        <w:t>Urteil vom 19. März 2019</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8. Januar 2019 (C-8053/2016).</w:t>
      </w:r>
    </w:p>
    <w:p>
      <w:r>
        <w:t>Nach Einsicht</w:t>
      </w:r>
    </w:p>
    <w:p>
      <w:r>
        <w:t>in die Beschwerde vom 4. März 2019 (Poststempel) gegen den Entscheid des Bundesverwaltungsgerichts vom 8.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diesen Mindestanforderungen innert der nicht erstreckbaren Rechtsmittelfrist ( Art. 47 Abs. 1 BGG ) Genüge getan sein muss,</w:t>
      </w:r>
    </w:p>
    <w:p>
      <w:r>
        <w:t>dass es somit nicht ausreicht, innert der Rechtsmittelfrist Beschwerdeerhebung zu erklären und das Nachreichen der Begründung in Aussicht zu stellen,</w:t>
      </w:r>
    </w:p>
    <w:p>
      <w:r>
        <w:t>dass die Eingabe vom 4. März 2019 weder einen Antrag noch ansatzweise eine Begründung enthält, sondern darin einzig die Nachreichung der Begründung in Aussicht gestellt wird, womit sie den genannten inhaltlichen Mindestanforderungen nicht genügt,</w:t>
      </w:r>
    </w:p>
    <w:p>
      <w:r>
        <w:t>dass deshalb im vereinfachten Verfahren nach Art. 108 Abs. 1 lit. b BGG auf die Beschwerde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19. März 2019</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