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170/2010 vom 18. Mai 2010</w:t>
      </w:r>
    </w:p>
    <w:p>
      <w:r>
        <w:t>Bundesgericht, 2010-05-18, DE</w:t>
      </w:r>
    </w:p>
    <w:p>
      <w:r>
        <w:rPr>
          <w:b/>
        </w:rPr>
        <w:t xml:space="preserve">Quelle: </w:t>
      </w:r>
      <w:r>
        <w:t>https://mcp.opencaselaw.ch/entscheid/bger_9C_170_2010</w:t>
      </w:r>
    </w:p>
    <w:p>
      <w:r>
        <w:t>FR: TF 9C 170/2010 du 18 mai 2010</w:t>
      </w:r>
    </w:p>
    <w:p>
      <w:r>
        <w:t>IT: TF 9C 170/2010 del 18 maggio 2010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Voraussetzungen und Umfang des Invalidenrentenanspruchs sowie die Invaliditätsbemessung nach der gemischten Methode zutreffend dargelegt. Darauf wird verwiesen.</w:t>
      </w:r>
    </w:p>
    <w:p>
      <w:r>
        <w:rPr>
          <w:b/>
        </w:rPr>
        <w:t>E. 3.1</w:t>
      </w:r>
    </w:p>
    <w:p>
      <w:r>
        <w:t>Im Wesentlichen gestützt auf das Gutachten der Akademie X.________ vom 5. September 2007 stellte die Vorinstanz fest, im erwerblichen Bereich sei die Beschwerdeführerin in einer leidensangepassten Tätigkeit zu 60 % arbeitsfähig, während sie im Haushalt aufgrund des entsprechenden Abklärungsberichts von einer Einschränkung von 18 % ausging. Bei Anteilen von 68 % Erwerbstätigkeit und 32 % Haushalt resultierte gemäss kantonalem Gericht ein Invaliditätsgrad von gesamthaft lediglich 16 %.</w:t>
      </w:r>
    </w:p>
    <w:p>
      <w:r>
        <w:rPr>
          <w:b/>
        </w:rPr>
        <w:t>E. 3.2</w:t>
      </w:r>
    </w:p>
    <w:p>
      <w:r>
        <w:t>Die auf einer Beweiswürdigung beruhende Feststellung der Vorinstanz, wonach im Rahmen der Invaliditätsbemessung nach der gemischten Methode von Anteilen von 68 % Erwerbstätigkeit und 32 % Hausarbeit auszugehen sei, ist für das Bundesgericht verbindlich (E. 1 hievor). Auf die Behauptung der Versicherten, sie habe vor Eintritt des Gesundheitsschadens im Ausmass von 74 % ausser Haus gearbeitet, ist nicht einzugehen, handelt es sich dabei doch um eine unzulässige Kritik an der Beweiswürdigung des kantonalen Gerichts.</w:t>
      </w:r>
    </w:p>
    <w:p>
      <w:r>
        <w:rPr>
          <w:b/>
        </w:rPr>
        <w:t>E. 3.3</w:t>
      </w:r>
    </w:p>
    <w:p>
      <w:r>
        <w:t>Soweit die Beschwerdeführerin geltend macht, die Expertise der Akademie X.________ sei in der Gesamtbeurteilung zu einer vom begutachtenden Psychiater Dr. med. M.________ abweichenden Schlussfolgerung gelangt, ist ihr beizupflichten. Während in der Gesamtbeurteilung des Gutachtens festgehalten wird, die Versicherte sei in einer den körperlichen Beschwerden angepassten Tätigkeit zu 40 % arbeitsunfähig, hatte Dr. med. M.________ in seinem Teilgutachten ausgeführt, die Arbeitsfähigkeit sei in einer angepassten Tätigkeit auf etwa 40 % reduziert. Ob der Vorinstanz, welche ohne nähere Begründung die Gesamtbeurteilung mit der geringeren Einschränkung von 40 % als massgebend erachtet hat, aus diesem Grund eine offensichtlich unrichtige Sachverhaltsfeststellung vorzuwerfen wäre, erscheint fraglich, kann jedoch offenbleiben, wie die nachfolgenden Erwägungen zeigen.</w:t>
      </w:r>
    </w:p>
    <w:p>
      <w:r>
        <w:rPr>
          <w:b/>
        </w:rPr>
        <w:t>E. 3.4</w:t>
      </w:r>
    </w:p>
    <w:p>
      <w:r>
        <w:t>Würde die Invaliditätsbemessung unter Annahme einer Arbeitsunfähigkeit von 60 % (statt 40 %) im erwerblichen Bereich durchgeführt, ergäbe sich auf der Grundlage der von der Vorinstanz verwendeten Zahlen ebenfalls kein rentenbegründender Invaliditätsgrad. Bei einem hypothetischen Einkommen ohne Invalidität (Valideneinkommen) von Fr. 34'257.- und einem Invalideneinkommen von Fr. 19'628.- im Jahr für ein Pensum von 40 % (zwei Drittel des von der Vorinstanz angenommenen Betrages von Fr. 29'442.-) resultierte eine Erwerbseinbusse von Fr. 14'629.- (Fr. 34'257.- / Fr. 19'628.-), entsprechend einer gewichteten Einschränkung von 29.03 % (42.7 % x 68 %). Im Haushalt bliebe es bei der vorinstanzlich festgestellten Behinderung von gewichtet rund 6 % (18 % x 32 %), sodass der Invaliditätsgrad gesamthaft 35 % (29 % + 6 %) betragen würde.</w:t>
      </w:r>
    </w:p>
    <w:p>
      <w:r>
        <w:rPr>
          <w:b/>
        </w:rPr>
        <w:t>E. 3.5</w:t>
      </w:r>
    </w:p>
    <w:p>
      <w:r>
        <w:t>Die übrigen Einwendungen der Beschwerdeführerin erschöpfen sich weitestgehend in einer im Rahmen der geltenden Überprüfungsbefugnis des Bundesgerichts unzulässigen, appellatorischen Kritik an der vorinstanzlichen Beweiswürdigung. Mit Bezug auf den in der Beschwerde wiederholt zitierten Bericht der Psychiatrischen Klinik Z.________ ist darauf hinzuweisen, dass dieser vom 13. Oktober 2009 datiert und damit über anderthalb Jahre nach dem für die gerichtliche Beurteilung massgebenden Zeitpunkt des Einspracheentscheides ( BGE 116 V 246 E. 1a S. 248) erstattet wurde, weshalb er nicht in die Beurteilung einzubeziehen ist. Dasselbe gilt für die nachträglich eingereichten Unterlagen, soweit diese nicht ohnehin aufgrund des vor Bundesgericht geltenden Novenverbots ( Art. 99 Abs. 1 BGG ) unbeachtlich sind. Nachdem eine interdisziplinäre Expertise der Akademie X.________ vom 5. September 2007 vorliegt, welcher Beweiskraft zukommt, ist kein Grund ersichtlich, entsprechend dem Rechtsbegehren der Versicherten in Bezug auf den somatischen Gesundheitszustand ein Gutachten zu veranlassen.</w:t>
      </w:r>
    </w:p>
    <w:p>
      <w:r>
        <w:rPr>
          <w:b/>
        </w:rPr>
        <w:t>E. 4</w:t>
      </w:r>
    </w:p>
    <w:p>
      <w:r>
        <w:t>Dem Gesuch um unentgeltliche Rechtspflege ist stattzugeben, da die gesetzlichen Voraussetzungen erfüllt sind ( Art. 64 Abs. 1 und 2 BGG ). Die Beschwerdeführerin ist jedoch auf Art. 64 Abs. 4 BGG hinzuweisen. Nach dieser Bestimmung hat die Partei der 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