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169/2010 vom 19. April 2010</w:t>
      </w:r>
    </w:p>
    <w:p>
      <w:r>
        <w:t>Bundesgericht, 2010-04-19, DE</w:t>
      </w:r>
    </w:p>
    <w:p>
      <w:r>
        <w:rPr>
          <w:b/>
        </w:rPr>
        <w:t xml:space="preserve">Quelle: </w:t>
      </w:r>
      <w:r>
        <w:t>https://mcp.opencaselaw.ch/entscheid/bger_9C_169_2010</w:t>
      </w:r>
    </w:p>
    <w:p>
      <w:r>
        <w:t>FR: TF 9C 169/2010 du 19 avril 2010</w:t>
      </w:r>
    </w:p>
    <w:p>
      <w:r>
        <w:t>IT: TF 9C 169/2010 del 19 aprile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letztinstanzlich nicht mehr vorgetragen werden ( BGE 133 II 249 E. 1.4.1 S. 254 mit Hinweisen).</w:t>
      </w:r>
    </w:p>
    <w:p>
      <w:r>
        <w:rPr>
          <w:b/>
        </w:rPr>
        <w:t>E. 1.3</w:t>
      </w:r>
    </w:p>
    <w:p>
      <w:r>
        <w:t>Die Vorinstanz hat den Begriff der Umschulung ( Art. 17 IVG ) unter Hinweis auf die Rechtsprechung ( BGE 124 V 108 E. 2a S. 109) zutreffend dargestellt. Darauf wird verwiesen.</w:t>
      </w:r>
    </w:p>
    <w:p>
      <w:r>
        <w:rPr>
          <w:b/>
        </w:rPr>
        <w:t>E. 2.1</w:t>
      </w:r>
    </w:p>
    <w:p>
      <w:r>
        <w:t>Der Umschulungsbedarf muss durch die leistungsspezifische ( Art. 4 Abs. 2 IVG ) Invalidität bedingt sein. Der Anspruch setzt eine bestehende oder unmittelbar drohende ( Art. 8 Abs. 1 IVG in der hier noch anwendbaren, bis Ende 2007 in Kraft gewesenen Fassung) Invalidität von etwa 20 Prozent voraus ( BGE 124 V 108 E. 2b S. 110; SVR 2006 IV Nr. 15 S. 53 E. 2, I 18/05; vgl. auch BGE 130 V 488 ). Dabei wird für die Beurteilung der Erwerbsunfähigkeit auf die gesundheitlich bedingte Einschränkung nicht nur in der bisherigen Tätigkeit, sondern auf dem gesamten in Betracht kommenden ausgeglichenen Arbeitsmarkt abgestellt; die versicherte Person ist aufgrund der Schadenminderungspflicht gehalten, im Rahmen des Zumutbaren eine andere als die angestammte Tätigkeit auszuüben, sofern sich dadurch die verbleibende Arbeitsfähigkeit finanziell besser verwerten lässt ( Art. 7 ATSG ; Urteil I 210/05 vom 10. November 2005 E. 3.3.1).</w:t>
      </w:r>
    </w:p>
    <w:p>
      <w:r>
        <w:rPr>
          <w:b/>
        </w:rPr>
        <w:t>E. 2.2</w:t>
      </w:r>
    </w:p>
    <w:p>
      <w:r>
        <w:t>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 Art. 6 Abs. 1 IVV ). Der Umschulungsanspruch umfasst Massnahmen berufsbildender Art,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 BGE 124 V 108 E. 2a S. 110). Unter diesem Gesichtspunkt verbleibt jeder erlernte Beruf auch nach dessen allfälliger Aufgabe Bestandteil der Ausbildung, über welche die versicherte Person verfügt, und ist daher in den prognostischen Vergleich mit der beruflichen Situation nach Durchführung der Eingliederungsmassnahme miteinzubeziehen (Urteil I 144/05 vom 13. Mai 2005 E. 2.2.1). Es besteht kein Anspruch auf eine Weiterausbildung, die zu einem Einkommen führt, das erheblich besser ist als das vor Eintritt der Invalidität erzielte, jedenfalls solange nicht gesagt werden kann, dass einzig eine anspruchsvollere Ausbildung zu einer höheren Berufsstufe eine optimale Verwertung der verbleibenden Arbeitsfähigkeit erlaube (vgl. Urteil I 123/91 vom 18. Dezember 1992 E. 3b). Wählt eine versicherte Person ohne invaliditätsbedingte Notwendigkeit eine Ausbildung, die den Rahmen der Gleichwertigkeit sprengt, kann die Invalidenversicherung daran Beiträge gewähren im Ausmass des Leistungsanspruchs auf eine gleichwertige Umschulungsmassnahme (sog. Austauschbefugnis; AHI 2002 S. 105 E. 2b mit Hinweisen, I 716/99).</w:t>
      </w:r>
    </w:p>
    <w:p>
      <w:r>
        <w:rPr>
          <w:b/>
        </w:rPr>
        <w:t>E. 3.1</w:t>
      </w:r>
    </w:p>
    <w:p>
      <w:r>
        <w:t>Die Vorinstanz hat erwogen, die Parteien seien sich grundsätzlich einig, dass die Beschwerdeführerin Anspruch auf eine Umschulung habe; sie hat die Eingliederungswirksamkeit der Ausbildung zur Rechtsagentin aber verneint, weil es der Beschwerdeführerin im Hinblick auf die Ausübung dieses Berufs an einer Grundausbildung und an vorausgesetzter Erfahrung fehle. Derweil stehe die jetzt ausgeübte Tätigkeit in einer Anwaltskanzlei auch Sekretärinnen mit einer zweijährigen Bürolehre offen.</w:t>
      </w:r>
    </w:p>
    <w:p>
      <w:r>
        <w:rPr>
          <w:b/>
        </w:rPr>
        <w:t>E. 3.2</w:t>
      </w:r>
    </w:p>
    <w:p>
      <w:r>
        <w:t>Ob diese Begründung haltbar ist, was die Beschwerdeführerin in Frage stellt, kann offenbleiben; die Beschwerde ist im Ergebnis ohnehin unbegründet, wie sich aus dem Folgenden ergibt.</w:t>
      </w:r>
    </w:p>
    <w:p>
      <w:r>
        <w:rPr>
          <w:b/>
        </w:rPr>
        <w:t>E. 3.3</w:t>
      </w:r>
    </w:p>
    <w:p>
      <w:r>
        <w:t>Die Vorinstanz hat keine ausdrücklichen Feststellungen zum Invaliditätsgrad - als Voraussetzung für einen Umschulungsanspruch, der über das von der Invalidenversicherung finanzierte Weiterbildungsdiplom hinausgeht - getroffen. Insofern kann das Bundesgericht den Sachverhalt selber feststellen ( Art. 105 Abs. 2 BGG ).</w:t>
      </w:r>
    </w:p>
    <w:p>
      <w:r>
        <w:rPr>
          <w:b/>
        </w:rPr>
        <w:t>E. 3.4</w:t>
      </w:r>
    </w:p>
    <w:p>
      <w:r>
        <w:t>Dem bei den Akten liegenden Lebenslauf der Beschwerdeführerin ist zu entnehmen, dass sie eine zweijährige Bürolehre absolviert hatte, danach aber nicht in diesem Beruf arbeitete, sondern während mehrerer Jahre in verschiedenen ungelernten Tätigkeiten im Gastgewerbe, auf dem Bau und in der Montage, ohne dass dabei eine Weiterbildungsabsicht ersichtlich gewesen wäre. In der zuletzt vor dem Unfall ausgeübten Tätigkeit als Hilfsmonteurin hätte sie in einer Festanstellung ab September 2003 ein Gehalt von Fr. 58'500.- jährlich (einschliesslich dem 13. Monatslohn) erzielen können. Dieser Wert ist als Grundlage für das hypothetische Einkommen ohne Gesundheitsschaden heranzuziehen, zumal das vor dem Unfall effektiv erzielte Einkommen offenbar immer tiefer war (vgl. Lohnabrechnungen der I.________ AG). Unter Berücksichtigung der Nominallohnentwicklung gemäss Schweizerischem Lohnindex des Bundesamtes für Statistik bis zum Jahr 2005 (Beginn der zur Diskussion stehenden Ausbildung) ist von einem Valideneinkommen im Betrage von rund Fr. 59'800.- auszugehen (vgl. BGE 129 V 222 E. 4.3.1 S. 224).</w:t>
      </w:r>
    </w:p>
    <w:p>
      <w:r>
        <w:rPr>
          <w:b/>
        </w:rPr>
        <w:t>E. 3.5</w:t>
      </w:r>
    </w:p>
    <w:p>
      <w:r>
        <w:t>Die Beschwerdeführerin kann die vor dem Unfall ausgeübte Tätigkeit offenbar aus gesundheitlichen Gründen nicht mehr ausüben. In Bürotätigkeiten ist sie hingegen unbestrittenermassen vollständig arbeitsfähig (vgl. kreisärztliche Untersuchungen der SUVA vom 13. Juni 2005 und 10. Juli 2006). Nach Feststellung der IV-Stelle erzielt die Beschwerdeführerin mit dem von der Invalidenversicherung finanzierten Wirtschaftsdiplom ein Einkommen von Fr. 62'400.- (Vorbescheid vom 11. November 2008 und Verfügung vom 20. August 2009). Diese Erkenntnis stützt sich auf eigene Angaben der Versicherten; sie hat die Annahme denn auch weder in ihrer Stellungnahme vom 12. Dezember 2008 noch in der kantonalen Beschwerde in Frage gestellt. Die Beschwerdeführerin brachte jedoch vor, die Stelle in einer Anwaltskanzlei mit dem erwähnten Gehalt nur dank der bereits begonnenen Ausbildung zur Rechtsagentin erhalten zu haben. Das betreffende Einkommen entspricht indessen in der Grössenordnung demjenigen einer kaufmännischen Angestellten; so liegt nach der Lohnstrukturerhebung 2004 des Bundesamtes für Statistik der Zentralwert der Frauenlöhne im Sektor Dienstleistungen (Anforderungsniveau 3 [Berufs- und Fachkenntnisse vorausgesetzt]) bei Fr. 4811.-, was (bei Annahme einer betriebsüblichen wöchentlichen Arbeitszeit von 41,7 Stunden und unter Berücksichtigung der Nominallohnentwicklung bis 2005) einem Jahreseinkommen von Fr. 60'850.- entspricht. Dieser Wert liegt gar etwas über dem Valideneinkommen von Fr. 59'800.-. Ein Anspruch auf weitergehende Umschulungsmassnahmen besteht schon deshalb nicht, weil der hierfür erforderliche Invaliditätsgrad von etwa 20 Prozent jedenfalls nicht erreicht ist.</w:t>
      </w:r>
    </w:p>
    <w:p>
      <w:r>
        <w:rPr>
          <w:b/>
        </w:rPr>
        <w:t>E. 4</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