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169/2009 vom 1. Dezember 2009</w:t>
      </w:r>
    </w:p>
    <w:p>
      <w:r>
        <w:t>Bundesgericht, 2009-12-01, FR</w:t>
      </w:r>
    </w:p>
    <w:p>
      <w:r>
        <w:rPr>
          <w:b/>
        </w:rPr>
        <w:t xml:space="preserve">Quelle: </w:t>
      </w:r>
      <w:r>
        <w:t>https://mcp.opencaselaw.ch/entscheid/bger_9C_169_2009</w:t>
      </w:r>
    </w:p>
    <w:p>
      <w:r>
        <w:t>FR: TF 9C 169/2009 du 1 décembre 2009</w:t>
      </w:r>
    </w:p>
    <w:p>
      <w:r>
        <w:t>IT: TF 9C 169/2009 del 1 dicembre 2009</w:t>
      </w:r>
    </w:p>
    <w:p>
      <w:pPr>
        <w:pStyle w:val="Heading2"/>
      </w:pPr>
      <w:r>
        <w:t>Regeste</w:t>
      </w:r>
    </w:p>
    <w:p>
      <w:r>
        <w:t>Prévoyance professionnelle | Prévoyance professionnelle</w:t>
      </w:r>
    </w:p>
    <w:p>
      <w:pPr>
        <w:pStyle w:val="Heading2"/>
      </w:pPr>
      <w:r>
        <w:t>Erwägungen</w:t>
      </w:r>
    </w:p>
    <w:p>
      <w:r>
        <w:rPr>
          <w:b/>
        </w:rPr>
        <w:t>E. 1</w:t>
      </w:r>
    </w:p>
    <w:p>
      <w:r>
        <w:t>La recourante conteste la légitimation passive de "Zurich Suisse" dans la cause devant le Tribunal cantonal des assurances sociales, attendu que seule la Fondation collective VITA peut être partie à la procédure, et conclut à l'annulation pour ce motif du jugement attaqué. Dans ses observations du 24 mars 2009, la juridiction cantonale relève que c'est par erreur que "Zurich Suisse" figure en qualité de défenderesse sur la page de garde et qu'à l'intérieur du jugement attaqué, seule la Fondation collective de prévoyance professionnelle de la Zurich Vie est mentionnée sous ch. 5 de l'état de fait. Il convient dès lors de corriger l'indication des parties en ce sens que la Fondation collective VITA a qualité de partie, ce qui se justifie d'autant plus qu'au dossier la Fondation collective LPP (lettre du 7 janvier 2008) puis la Fondation collective VITA (réponse du 29 février 2008, observations du 28 novembre 2008) ont été représentées par la «Zurich» Compagnie d'Assurances sur la Vie (arrêt B 93/05 du 21 mars 2007 consid. 2, in SVR 2007 BVG Nr. 31 p. 112).</w:t>
      </w:r>
    </w:p>
    <w:p>
      <w:r>
        <w:rPr>
          <w:b/>
        </w:rPr>
        <w:t>E. 2</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3.1</w:t>
      </w:r>
    </w:p>
    <w:p>
      <w:r>
        <w:t>Il est constant que l'intimé a souffert d'une dépression importante en novembre et décembre 1997, engendrant une incapacité de travail totale. Le litige porte sur le point de savoir si son aptitude à exercer une activité lucrative s'est rétablie en 1998 de manière suffisamment durable pour interrompre le lien de connexité temporelle entre l'incapacité de travail survenue en novembre 1997 et l'invalidité survenue ultérieurement.</w:t>
      </w:r>
    </w:p>
    <w:p>
      <w:r>
        <w:rPr>
          <w:b/>
        </w:rPr>
        <w:t>E. 3.2</w:t>
      </w:r>
    </w:p>
    <w:p>
      <w:r>
        <w:t>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on peut s'inspirer de la règle de l' art. 88a al. 1 RAI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 ATF 134 V 20 consid. 3.2.1 p. 22 et les références, 123 V 262 consid. 1c p. 264, 120 V 112 consid. 2c/aa p. 117; arrêt 9C_768/2008 du 15 mai 2009, consid. 3).</w:t>
      </w:r>
    </w:p>
    <w:p>
      <w:r>
        <w:rPr>
          <w:b/>
        </w:rPr>
        <w:t>E. 4</w:t>
      </w:r>
    </w:p>
    <w:p>
      <w:r>
        <w:t>Les premiers juges ont relevé que fin décembre de l'année 1997, l'état de santé de l'intimé s'était amélioré, au point que celui-ci avait été en mesure de rechercher un nouvel emploi et de se faire engager par l'EMS de Y.________, établissement où il avait travaillé d'abord pendant le mois de janvier 1998 et qui, selon les déclarations de l'employeur, l'avait engagé en tant qu'employé fixe pendant une durée indéterminée à partir du 1er mars 1998. Ils ont retenu que l'intimé avait travaillé auprès de la Maison de repos de Y.________ en janvier 1998, ainsi qu'à partir du 1er mars jusqu'au 11 mai 1998, date à laquelle il avait présenté une incapacité totale de travail.</w:t>
      </w:r>
    </w:p>
    <w:p>
      <w:r>
        <w:rPr>
          <w:b/>
        </w:rPr>
        <w:t>E. 4.1</w:t>
      </w:r>
    </w:p>
    <w:p>
      <w:r>
        <w:t>Ainsi que cela ressort d'un certificat de travail du 29 janvier 1998 de la Maison de repos de Y.________, l'intimé a effectué un remplacement auprès de cet établissement du 1er au 31 janvier 1998. Le point de savoir s'il a travaillé également en janvier 1998 au service de la Fondation de la Commune de T.________ n'est pas déterminant en ce qui concerne le litige. Contrairement à ce que laisse entendre la recourante, la situation de l'intimé en janvier 1998 ne nécessite pas une instruction complémentaire (cf. consid. 4.3 ci-dessous).</w:t>
      </w:r>
    </w:p>
    <w:p>
      <w:r>
        <w:rPr>
          <w:b/>
        </w:rPr>
        <w:t>E. 4.2</w:t>
      </w:r>
    </w:p>
    <w:p>
      <w:r>
        <w:t>Au regard du questionnaire pour l'employeur du 14 juin 1999, il n'apparaît pas que les premiers juges, en retenant que l'intimé avait été engagé par la Maison de repos de Y.________ à partir du 1er mars 1998 en qualité d'infirmier et qu'il avait travaillé jusqu'au 11 mai 1998 - dernier jour de travail effectif -, date à partir de laquelle il avait présenté une incapacité totale de travail, aient établi les faits de façon manifestement inexacte ou en violation du droit.</w:t>
      </w:r>
    </w:p>
    <w:p>
      <w:r>
        <w:rPr>
          <w:b/>
        </w:rPr>
        <w:t>E. 4.3</w:t>
      </w:r>
    </w:p>
    <w:p>
      <w:r>
        <w:t>Les premiers juges, relevant que l'intimé avait pu travailler en 1998 pendant plus de trois mois, ont considéré que "l'interruption de l'incapacité de travail d'une telle durée est en principe considérée par la loi comme une amélioration durable. Par conséquent, la connexité temporelle avec une incapacité de travail antérieure doit être niée". Toutefois, avant de conclure à l'interruption du lien de connexité temporelle entre l'incapacité de travail survenue en novembre 1997 et l'invalidité survenue ultérieurement, il aurait fallu que la juridiction cantonale examine si la symptomatologie dépressive ayant entraîné une incapacité de travail dès le 17 novembre 1997 s'était amendée à partir du 1er janvier 1998 dans une mesure propre à permettre à l'intimé de reprendre durablement l'exercice de sa profession d'infirmier. Il ressort d'un rapport de la Clinique X.________ du 10 août 1998 que dans un premier temps, en début d'année 1998, l'intimé avait interrompu son suivi, ainsi que son traitement médicamenteux, mais qu'il était revenu à la Clinique en juin 1998 dans un état encore plus critique qu'en fin 1997. En effet, la symptomatologie dépressive était à nouveau floride, avec une inhibition psychomotrice marquée, un état d'anxiété permanent. Au regard de ce document, il apparaît que la symptomatologie dépressive ayant entraîné l'incapacité de travail dès le 17 novembre 1997 ne s'était pas amendée pendant la période du 1er janvier au 11 mai 1998 dans une mesure propre à permettre à l'intimé de reprendre durablement l'exercice de sa profession d'infirmier. Au contraire, la rapidité de la réaction dépressive à la suite de son engagement à partir du 1er mars 1998 par la Maison de repos de Y.________ tend à démontrer qu'il n'était pas totalement guéri des troubles qui l'avaient affecté auparavant et, par conséquent, qu'il n'avait pas entièrement recouvré sa capacité de travail au moment de son engagement. Il n'est pas non plus prouvé qu'il ait présenté une capacité de travail d'une durée de trois mois ( art. 88a al. 1 RAI par analogie) sans interruption notable, à partir de janvier 1998. Il existe suffisamment d'indices objectifs qui permettent d'établir, au degré de la vraisemblance prépondérante, un lien de connexité temporelle entre l'incapacité de travail survenue en novembre 1997 et l'invalidité survenue postérieurement. Il ne se justifie donc pas de renvoyer la cause à la juridiction cantonale pour qu'elle procède à un complément d'instruction.</w:t>
      </w:r>
    </w:p>
    <w:p>
      <w:r>
        <w:rPr>
          <w:b/>
        </w:rPr>
        <w:t>E. 4.4</w:t>
      </w:r>
    </w:p>
    <w:p>
      <w:r>
        <w:t>Il s'ensuit que la recourante, à laquelle il est constant que l'intimé n'était pas affilié en novembre 1997, n'est pas tenue à prestations. Cela conduit à l'annulation pure et simple du jugement attaqué.</w:t>
      </w:r>
    </w:p>
    <w:p>
      <w:r>
        <w:rPr>
          <w:b/>
        </w:rPr>
        <w:t>E. 5</w:t>
      </w:r>
    </w:p>
    <w:p>
      <w:r>
        <w:t>Vu l'issue du litige, les frais judiciaires doivent être mis à la charge de l'intimé, qui succombe ( art. 66 al. 1 LTF ). La recourante, bien qu'obtenant gain de cause, ne saurait prétendre une indemnité de dépens pour l'instance fédérale ( art. 68 al. 3 LTF ; ATF 128 V 124 consid. 5b p.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