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9C_168/2019 vom 26. März 2019</w:t>
      </w:r>
    </w:p>
    <w:p>
      <w:r>
        <w:t>Bundesgericht, 2019-03-26, DE</w:t>
      </w:r>
    </w:p>
    <w:p>
      <w:r>
        <w:rPr>
          <w:b/>
        </w:rPr>
        <w:t xml:space="preserve">Quelle: </w:t>
      </w:r>
      <w:r>
        <w:t>https://mcp.opencaselaw.ch/entscheid/bger_9C_168_2019</w:t>
      </w:r>
    </w:p>
    <w:p>
      <w:r>
        <w:t>FR: TF 9C_168/2019 du 26 mars 2019</w:t>
      </w:r>
    </w:p>
    <w:p>
      <w:r>
        <w:t>IT: TF 9C_168/2019 del 26 marzo 2019</w:t>
      </w:r>
    </w:p>
    <w:p>
      <w:pPr>
        <w:pStyle w:val="Heading2"/>
      </w:pPr>
      <w:r>
        <w:t>Volltext</w:t>
      </w:r>
    </w:p>
    <w:p>
      <w:r>
        <w:t>Bundesgericht</w:t>
      </w:r>
    </w:p>
    <w:p>
      <w:r>
        <w:t>Tribunal fédéral</w:t>
      </w:r>
    </w:p>
    <w:p>
      <w:r>
        <w:t>Tribunale federale</w:t>
      </w:r>
    </w:p>
    <w:p>
      <w:r>
        <w:t>Tribunal federal</w:t>
      </w:r>
    </w:p>
    <w:p>
      <w:r>
        <w:t>9C_168/2019</w:t>
      </w:r>
    </w:p>
    <w:p>
      <w:r>
        <w:t>Urteil vom 26. März 2019</w:t>
      </w:r>
    </w:p>
    <w:p>
      <w:r>
        <w:t>II. sozialrechtliche Abteilung</w:t>
      </w:r>
    </w:p>
    <w:p>
      <w:r>
        <w:t>Besetzung</w:t>
      </w:r>
    </w:p>
    <w:p>
      <w:r>
        <w:t>Bundesrichterin Pfiffner, Präsidentin,</w:t>
      </w:r>
    </w:p>
    <w:p>
      <w:r>
        <w:t>Gerichtsschreiberin Dormann.</w:t>
      </w:r>
    </w:p>
    <w:p>
      <w:r>
        <w:t>Verfahrensbeteiligte</w:t>
      </w:r>
    </w:p>
    <w:p>
      <w:r>
        <w:t>Vivao Sympany AG, Rechtsdienst, Peter Merian-Weg 4, 4002 Basel,</w:t>
      </w:r>
    </w:p>
    <w:p>
      <w:r>
        <w:t>Beschwerdeführerin,</w:t>
      </w:r>
    </w:p>
    <w:p>
      <w:r>
        <w:t>gegen</w:t>
      </w:r>
    </w:p>
    <w:p>
      <w:r>
        <w:t>A.________,</w:t>
      </w:r>
    </w:p>
    <w:p>
      <w:r>
        <w:t>Beschwerdegegnerin.</w:t>
      </w:r>
    </w:p>
    <w:p>
      <w:r>
        <w:t>Gegenstand</w:t>
      </w:r>
    </w:p>
    <w:p>
      <w:r>
        <w:t>Krankenversicherung,</w:t>
      </w:r>
    </w:p>
    <w:p>
      <w:r>
        <w:t>Beschwerde gegen den Entscheid des Sozialversicherungsgerichts des Kantons Zürich vom 31. Januar 2019 (KV.2017.00034).</w:t>
      </w:r>
    </w:p>
    <w:p>
      <w:r>
        <w:t>Nach Einsicht</w:t>
      </w:r>
    </w:p>
    <w:p>
      <w:r>
        <w:t>in den Entscheid des Sozialversicherungsgerichts des Kantons Zürich vom 31. Januar 2019, mit dem es die Beschwerde der A.________ in dem Sinne guthiess, als es den Einspracheentscheid vom 21. Februar 2017 aufhob und die Sache zu weiterer Abklärung und neuer Verfügung über den Leistungsanspruch der Versicherten an die Vivao Sympany AG (nachfolgend: Sympany) zurückwies,</w:t>
      </w:r>
    </w:p>
    <w:p>
      <w:r>
        <w:t>in die dagegen erhobene Beschwerde der Sympany vom 4. März 2019 (Poststempel),</w:t>
      </w:r>
    </w:p>
    <w:p>
      <w:r>
        <w:t>in Erwägung,</w:t>
      </w:r>
    </w:p>
    <w:p>
      <w:r>
        <w:t>dass das Bundesgericht von Amtes wegen und mit freier Kognition prüft, ob ein Rechtsmittel zulässig ist ( BGE 138 V 318 E. 6 S. 320 mit Hinweis),</w:t>
      </w:r>
    </w:p>
    <w:p>
      <w:r>
        <w:t>dass es sich beim angefochtenen kantonalen Rückweisungsentscheid um einen selbstständig eröffneten Vor- bzw. Zwischenentscheid im Sinne von Art. 93 BGG handelt ( BGE 140 V 282 E. 2 S. 284 mit Hinweisen),</w:t>
      </w:r>
    </w:p>
    <w:p>
      <w:r>
        <w:t>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140 V 282 E. 4.2 S. 286 mit Hinweisen),</w:t>
      </w:r>
    </w:p>
    <w:p>
      <w:r>
        <w:t>dass, weil Zwischenentscheide somit nur ausnahmsweise beim Bundesgericht angefochten werden können, es grundsätzlich der Beschwerde führenden Partei (hier der Verwaltung) obliegt darzutun, in welcher Weise die genannten Eintretenserfordernisse erfüllt sind ( BGE 137 III 324 E. 1.1 S. 329 mit Hinweisen; vgl. auch PETRA FLEISCHANDERL, Die Anfechtbarkeit von Vor- und Zwischenentscheiden gemäss Art. 92 f. BGG, insbesondere im Sozialversicherungsrecht, SZS 2013 S. 334),</w:t>
      </w:r>
    </w:p>
    <w:p>
      <w:r>
        <w:t>dass die Beschwerdeführerin mit keinem Wort auf die Eintretensvoraussetzungen eingeht und auch nicht ansatzweise darlegt, inwiefern einer der Tatbestände von Art. 93 Abs. 1 BGG hier erfüllt sein sollte,</w:t>
      </w:r>
    </w:p>
    <w:p>
      <w:r>
        <w:t>dass die Vorinstanz die Sympany angewiesen hat, weitere Abklärungen (betreffend die Einordnung der umstrittenen Behandlung als ärztliche oder zahnärztliche Behandlung) zu tätigen, und somit weder die Bedingung eines nicht wieder gutzumachenden Nachteils im Sinne von Art. 93 Abs. 1 lit. a BGG noch jene der Ersparnis eines bedeutenden Aufwands an Zeit oder Kosten für ein weitläufiges Beweisverfahren im Sinne von Art. 93 Abs. 1 lit. b BGG (offenkundig) ersichtlich ist,</w:t>
      </w:r>
    </w:p>
    <w:p>
      <w:r>
        <w:t>dass die Beschwerde nach dem Gesagten im Verfahren nach Art. 108 Abs. 1 lit. b BGG zu erledigen ist und die Beschwerdeführerin in reduziertem Umfang kostenpflichtig wird ( Art. 66 Abs. 1 Satz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Gesundheit schriftlich mitgeteilt.</w:t>
      </w:r>
    </w:p>
    <w:p>
      <w:r>
        <w:t>Luzern, 26. März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