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168/2017 vom 16. März 2017</w:t>
      </w:r>
    </w:p>
    <w:p>
      <w:r>
        <w:t>Bundesgericht, 2017-03-16, DE</w:t>
      </w:r>
    </w:p>
    <w:p>
      <w:r>
        <w:rPr>
          <w:b/>
        </w:rPr>
        <w:t xml:space="preserve">Quelle: </w:t>
      </w:r>
      <w:r>
        <w:t>https://mcp.opencaselaw.ch/entscheid/bger_9C_168_2017</w:t>
      </w:r>
    </w:p>
    <w:p>
      <w:r>
        <w:t>FR: TF 9C 168/2017 du 16 mars 2017</w:t>
      </w:r>
    </w:p>
    <w:p>
      <w:r>
        <w:t>IT: TF 9C 168/2017 del 16 marzo 2017</w:t>
      </w:r>
    </w:p>
    <w:p>
      <w:pPr>
        <w:pStyle w:val="Heading2"/>
      </w:pPr>
      <w:r>
        <w:t>Regeste</w:t>
      </w:r>
    </w:p>
    <w:p>
      <w:r>
        <w:t>Krankenversicherung (Spezialitätenliste; vorinstanzliches Verfahren) | Krankenversicherung</w:t>
      </w:r>
    </w:p>
    <w:p>
      <w:pPr>
        <w:pStyle w:val="Heading2"/>
      </w:pPr>
      <w:r>
        <w:t>Erwägungen</w:t>
      </w:r>
    </w:p>
    <w:p>
      <w:r>
        <w:rPr>
          <w:b/>
        </w:rPr>
        <w:t>E. 1</w:t>
      </w:r>
    </w:p>
    <w:p>
      <w:r>
        <w:t>Beim vorinstanzlichen Rückweisungsentscheid handelt es sich um einen Zwischenentscheid im Sinne von Art. 93 BGG ( BGE 142 V 26 E. 1.1 S. 28 mit Hinweis auf BGE 133 V 477 E. 4.2 S. 481 f.; vgl. auch Urteil 9C_713/2015 vom 9. Februar 2016). Solche (selbstständig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Die beschwerdeführende Partei hat im Einzelnen darzulegen, inwiefern die Voraussetzungen von Art. 93 Abs. 1 BGG gegeben sind, ansonsten auf die Beschwerde mangels hinreichender Begründung nicht einzutreten ist ( BGE 137 III 324 E. 1.1 S. 329 mit Hinweisen). Vorbehalten bleibt der Fall, dass das Vorliegen eine der beiden Voraussetzungen geradezu in die Augen springt ( BGE 142 V 26 E. 1.2 S. 28). Die Beschwerdeführerin setzt sich mit den Voraussetzungen von Art. 93 Abs. 1 BGG , wobei die in lit. b alternativ genannte Prozessvoraussetzung von vornherein ausser Betracht fällt, da ein bundesgerichtliches Urteil über die Höhe der Parteientschädigung im Verfahren vor Bundesverwaltungsgericht nicht zu einem Endentscheid in der Hauptsache (Publikumspreis des Arzneimittels B.________ per 1. November 2013) führte, mit keinem Wort auseinander. Ein Nachteil im Sinne von lit. a ist in concreto auch nicht evident. Vielmehr bewirkt die Kosten- und Entschädigungsregelung in einem Zwischenentscheid als solche in der Regel keinen nicht wieder gutzumachenden Nachteil ( BGE 139 V 604 E. 3.2 S. 607 mit zahlreichen Hinweisen). Mithin ist die Beschwerde offensichtlich unzulässig bzw. erfüllt die Beschwerdeschrift die Anforderungen an die Begründungspflicht offensichtlich nicht.</w:t>
      </w:r>
    </w:p>
    <w:p>
      <w:r>
        <w:rPr>
          <w:b/>
        </w:rPr>
        <w:t>E. 2</w:t>
      </w:r>
    </w:p>
    <w:p>
      <w:r>
        <w:t>Der Zwischenentscheid vom 25. Januar 2017 wird bezüglich der Höhe der zugesprochenen Parteientschädigung mittels Beschwerde gegen den Endentscheid anfechtbar sein ( Art. 93 Abs. 3 BGG ). Gelangt der Streit nicht mehr vor das Bundesverwaltungsgericht, etwa weil das BAG aufgrund der Ergebnisse seiner weiteren Abklärungen voll zu Gunsten der Beschwerdeführerin entscheidet, kann gegen dessen Verfügung direkt Beschwerde in öffentlich-rechtlichen Angelegenheiten beim Bundesgericht erhoben werden, und es können dabei die betreffenden Punkte gerügt werden ( BGE 139 V 604 E. 3.3 S. 607).</w:t>
      </w:r>
    </w:p>
    <w:p>
      <w:r>
        <w:rPr>
          <w:b/>
        </w:rPr>
        <w:t>E. 3</w:t>
      </w:r>
    </w:p>
    <w:p>
      <w:r>
        <w:t>Die Beschwerde ist im vereinfachten Verfahren nach Art. 108 Abs. 1 lit. a und b BGG zu erledigen. 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