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9C_166/2023 vom 24. Mai 2023</w:t>
      </w:r>
    </w:p>
    <w:p>
      <w:r>
        <w:t>Bundesgericht, 2023-05-24, DE</w:t>
      </w:r>
    </w:p>
    <w:p>
      <w:r>
        <w:rPr>
          <w:b/>
        </w:rPr>
        <w:t xml:space="preserve">Quelle: </w:t>
      </w:r>
      <w:r>
        <w:t>https://mcp.opencaselaw.ch/entscheid/bger_9C_166_2023</w:t>
      </w:r>
    </w:p>
    <w:p>
      <w:r>
        <w:t>FR: TF 9C_166/2023 du 24 mai 2023</w:t>
      </w:r>
    </w:p>
    <w:p>
      <w:r>
        <w:t>IT: TF 9C_166/2023 del 24 maggio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sowie Art. 73 Abs. 2 des Bundesgesetzes vom 14. Dezember 1990 über die Harmonisierung der direkten Steuern der Kantone und Gemeinden (StHG; SR 642.14) zur Beschwerde legitimiert.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Beschwerdeführerin rügt, die Vorinstanz habe den Sachverhalt offensichtlich unrichtig festgestellt. Die Vorinstanz habe es zu Unrecht für nicht bewiesen erachtet, dass die D.________ AG die im Zusammenhang mit der Sanitärplanung geltend gemachten Leistungen erbracht habe. Insbesondere habe die Vorinstanz die Bestätigung der Firma E.________ AG zu Unrecht nicht beachtet.</w:t>
      </w:r>
    </w:p>
    <w:p>
      <w:r>
        <w:t>Der Beschwerdeführerin kann nicht gefolgt werden.</w:t>
      </w:r>
    </w:p>
    <w:p>
      <w:r>
        <w:rPr>
          <w:b/>
        </w:rPr>
        <w:t>E. 3.1</w:t>
      </w:r>
    </w:p>
    <w:p>
      <w:r>
        <w:t>Die Vorinstanz hat festgehalten, dass keine Aufzeichnungen darüber vorhanden seien, welche Leistungen von der D.________ AG konkret erbracht worden sein sollen. Entgegen den Ausführungen der Beschwerdeführerin hat die Vorinstanz dabei auch die eingereichten Bestätigungen durch die Verweisung auf eine vorstehende Erwägung zwar knapp, aber doch hinreichend gewürdigt. Insbesondere ist nicht zu beanstanden, dass die Vorinstanz diese Bestätigungen als "sehr allgemein abgefasst" bezeichnet und ihnen die erforderliche Beweiskraft abgesprochen hat (vgl. angefochtenes Urteil E. 8.4 i.V.m. 8.3.1). Auf jeden Fall erscheint es unter diesen Umständen nicht nur als nicht offensichtlich unrichtig, sondern als offensichtlich zutreffend, dass die Vorinstanz die geltend gemachten Aufwendungen quantitativ nicht als nachgewiesen erachtet hat.</w:t>
      </w:r>
    </w:p>
    <w:p>
      <w:r>
        <w:rPr>
          <w:b/>
        </w:rPr>
        <w:t>E. 3.2</w:t>
      </w:r>
    </w:p>
    <w:p>
      <w:r>
        <w:t>Das scheint auch die Beschwerdeführerin zumindest ansatzweise einzusehen, wenn sie konzediert, dass sich "über die Höhe des Entgelts" streiten lasse (vgl. Beschwerde Rz. 49). Entgegen der Auffassung der Beschwerdeführerin erscheint es aber auch zumindest nicht als offensichtlich unrichtig respektive willkürlich, dass die Vorinstanz die behaupteten Leistungen der D.________ AG im Zusammenhang mit der Sanitärplanung für gänzlich unbewiesen gehalten hat. Die Beschwerdeführerin nennt zwar gewisse Anhaltspunkte für solche Leistungen. Ausserdem hätte sich die Vorinstanz nicht im Sinne einer Eventualbegründung zur Drittvergleichskonformität der Leistungen zu äussern gebraucht, wenn gestützt auf die Beweislastregel davon auszugehen war, dass gar keine Leistungen erbracht worden waren. Weder die Ausführungen der Beschwerdeführerin noch die Eventualbegründung der Vorinstanz bedeuten jedoch, dass die Vorinstanz in der Beweiswürdigung in Willkür verfallen wäre und deren Resultat als geradezu stossend erschiene.</w:t>
      </w:r>
    </w:p>
    <w:p>
      <w:r>
        <w:rPr>
          <w:b/>
        </w:rPr>
        <w:t>E. 4</w:t>
      </w:r>
    </w:p>
    <w:p>
      <w:r>
        <w:t>Die Beschwerdeführerin rügt weiter eine Verletzung des rechtlichen Gehörs ( Art. 29 Abs. 2 BV ). Da ihre Rüge jedoch die gesetzlichen Substanziierungserfordernisse nicht erfüllt, ist darauf nicht weiter einzugehen ( Art. 106 Abs. 2 BGG ; vgl. oben E. 2.2). Eine andere rechtliche</w:t>
      </w:r>
    </w:p>
    <w:p>
      <w:r>
        <w:t>Würdigung durch die Vorinstanz bedeutet nicht, dass letztere das rechtliche Gehör verletzt hätte.</w:t>
      </w:r>
    </w:p>
    <w:p>
      <w:r>
        <w:rPr>
          <w:b/>
        </w:rPr>
        <w:t>E. 5</w:t>
      </w:r>
    </w:p>
    <w:p>
      <w:r>
        <w:t>Die materielle Beurteilung der Vorinstanz beanstandet die Beschwerdeführerin zu Recht nicht. Weiterungen hierzu erübrigen sich folglich.</w:t>
      </w:r>
    </w:p>
    <w:p>
      <w:r>
        <w:rPr>
          <w:b/>
        </w:rPr>
        <w:t>E. 6</w:t>
      </w:r>
    </w:p>
    <w:p>
      <w:r>
        <w:t>Die Beschwerde erweist sich als unbegründet. Sie ist abzuweisen. Die Gerichtskosten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