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166/2021 vom 19. April 2021</w:t>
      </w:r>
    </w:p>
    <w:p>
      <w:r>
        <w:t>Bundesgericht, 2021-04-19, DE</w:t>
      </w:r>
    </w:p>
    <w:p>
      <w:r>
        <w:rPr>
          <w:b/>
        </w:rPr>
        <w:t xml:space="preserve">Quelle: </w:t>
      </w:r>
      <w:r>
        <w:t>https://mcp.opencaselaw.ch/entscheid/bger_9C_166_2021</w:t>
      </w:r>
    </w:p>
    <w:p>
      <w:r>
        <w:t>FR: TF 9C 166/2021 du 19 avril 2021</w:t>
      </w:r>
    </w:p>
    <w:p>
      <w:r>
        <w:t>IT: TF 9C 166/2021 del 19 aprile 2021</w:t>
      </w:r>
    </w:p>
    <w:p>
      <w:pPr>
        <w:pStyle w:val="Heading2"/>
      </w:pPr>
      <w:r>
        <w:t>Regeste</w:t>
      </w:r>
    </w:p>
    <w:p>
      <w:r>
        <w:t>Erwerbsersatz für Dienstleistende und bei Mutterschaft (Covid-19; Prozessvoraussetzung) | Erwerbersatzordnung</w:t>
      </w:r>
    </w:p>
    <w:p>
      <w:pPr>
        <w:pStyle w:val="Heading2"/>
      </w:pPr>
      <w:r>
        <w:t>Volltext</w:t>
      </w:r>
    </w:p>
    <w:p>
      <w:r>
        <w:t>Bundesgericht IV. Öffentlich-rechtliche Abteilung (II. Sozialrechtliche Abteilung) 19.04.2021 9C 166/2021 (9C_166/2021) Tribunal fédéral IVe Cour de droit public (IIe Cour de droit social) 19.04.2021 9C 166/2021 (9C_166/2021) Tribunale federale IV Corte di diritto pubblico (II Corte di diritto sociale) 19.04.2021 9C 166/2021 (9C_166/2021)</w:t>
      </w:r>
    </w:p>
    <w:p>
      <w:r>
        <w:t>Erwerbsersatz für Dienstleistende und bei Mutterschaft (Covid-19; Prozessvoraussetzung) | Erwerbersatzordnung</w:t>
      </w:r>
    </w:p>
    <w:p>
      <w:r>
        <w:t>Bundesgericht Tribunal fédéral Tribunale federale Tribunal federal 9C_166/2021 Urteil vom 19. April 2021 II. sozialrechtliche Abteilung Besetzung Bundesrichter Parrino, Präsident, Gerichtsschreiberin N. Möckli. Verfahrensbeteiligte A.________, Beschwerdeführer, gegen Ausgleichskasse des Kantons Zürich, Röntgenstrasse 17, 8005 Zürich, Beschwerdegegnerin. Gegenstand Erwerbsersatz für Dienstleistende und bei Mutterschaft (Covid-19), Prozessvoraussetzung, Beschwerde gegen den Entscheid des Sozialversicherungsgerichts des Kantons Zürich vom 29. Januar 2021 (EE.2020.00021). Nach Einsicht in die vom 6. März 2021 datierende Beschwerde gegen den Entscheid des Sozialversicherungsgerichts des Kantons Zürich vom 29. Januar 2021, in die Mitteilung des Bundesgerichts vom 12. März 2021 an A.________, worin auf die gesetzlichen Formerfordernisse von Beschwerden hinsichtlich Begehren und Begründung sowie auf die nur innert der Rechtsmittelfrist noch bestehende Verbesserungsmöglichkeit hingewiesen worden ist, in Erwägung, dass innert der Rechtsmittelfrist (Art. 44 - 48 i.V.m. Art. 100 Abs. 1 BGG ) keine weitere Eingabe eingereicht worden ist,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 dass das kantonale Gericht bestätigte, der Entschädigungsanspruch sei basierend auf dem den (Akonto-) Beitragsrechnungen des Jahres 2019 zugrunde liegenden Einkommen zu ermitteln, da für ein Abweichen von diesem Einkommen eine definitive Steuerveranlagung vorliegen müsste, dass der Beschwerdeführer übersieht, dass diese vorinstanzliche Schlussfolgerung nicht nur auf dem Kreisschreiben über die Entschädigung bei Massnahmen zur Bekämpfung des Coronavirus - Corona-Erwerbsersatz (KS CE) beruht, hat die Vorinstanz in den allgemeinen Erwägungen doch auch auf Art. 7 Abs. 1 EOV (SR 834.11) und die Rechtsprechung dazu (Urteil 9C_527/2018 vom 25. Januar 2018       E. 2.2) verwiesen, dass mit Blick darauf in der Beschwerde nicht hinreichend substanziiert aufgezeigt wird, inwiefern die vorinstanzlichen Erwägungen gegen Bundesrecht verstossen sollen, dass die Eingabe des Beschwerdeführers daher den inhaltlichen Mindestanforderungen an eine Beschwerde offensichtlich nicht genügt,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IV. Kammer, und dem Bundesamt für Sozialversicherungen schriftlich mitgeteilt. Luzern, 19. April 2021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