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9C_166/2019 vom 17. Mai 2019</w:t>
      </w:r>
    </w:p>
    <w:p>
      <w:r>
        <w:t>Bundesgericht, 2019-05-17, DE</w:t>
      </w:r>
    </w:p>
    <w:p>
      <w:r>
        <w:rPr>
          <w:b/>
        </w:rPr>
        <w:t xml:space="preserve">Quelle: </w:t>
      </w:r>
      <w:r>
        <w:t>https://mcp.opencaselaw.ch/entscheid/bger_9C_166_2019</w:t>
      </w:r>
    </w:p>
    <w:p>
      <w:r>
        <w:t>FR: TF 9C_166/2019 du 17 mai 2019</w:t>
      </w:r>
    </w:p>
    <w:p>
      <w:r>
        <w:t>IT: TF 9C_166/2019 del 17 maggio 2019</w:t>
      </w:r>
    </w:p>
    <w:p>
      <w:pPr>
        <w:pStyle w:val="Heading2"/>
      </w:pPr>
      <w:r>
        <w:t>Erwägungen</w:t>
      </w:r>
    </w:p>
    <w:p>
      <w:r>
        <w:rPr>
          <w:b/>
        </w:rPr>
        <w:t>E. 1.1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9C_653/2016 vom 2. März 2017 E. 1.2 mit Hinweisen).</w:t>
      </w:r>
    </w:p>
    <w:p>
      <w:r>
        <w:t>In Bezug auf die vorinstanzliche Sachverhaltsfeststellung und Beweiswürdigung gilt eine qualifizierte Rügepflicht. Diesbezügliche Mängel sind in der Beschwerde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2</w:t>
      </w:r>
    </w:p>
    <w:p>
      <w:r>
        <w:t>Streitgegenstand bildet der Rückgriff der Beschwerdeführerin auf die Beschwerdegegnerin gestützt auf Art. 26 Abs. 4 BVG für die erbrachten Vorleistungen (im Umfang der gesetzlichen [obligatorischen] Invalidenleistungen; Urteil 9C_425/2015 vom 11. Dezember 2015 E. 2.2, in: SVR 2016 BVG Nr. 42 S. 174). Dabei stellt sich einzig die Frage, ob die ins Recht gefasste Vorsorgeeinrichtung im Zusammenhang mit der Invalidität des im vorinstanzlichen Verfahren beigeladenen A.________ (Anspruch auf eine ganze Rente ab 1. Juni 2008) nach Art. 23 lit. a BVG leistungspflichtig ist.</w:t>
      </w:r>
    </w:p>
    <w:p>
      <w:r>
        <w:rPr>
          <w:b/>
        </w:rPr>
        <w:t>E. 3</w:t>
      </w:r>
    </w:p>
    <w:p>
      <w:r>
        <w:t>Anspruch auf Invalidenleistungen der (obligatorischen) beruflichen Vorsorge haben Personen, die im Sinne der IV zu mindestens 40 Prozent invalid sind und bei Eintritt der Arbeitsunfähigkeit, deren Ursache zur Invalidität geführt hat, versichert waren ( Art. 23 lit. a BVG ). Erforderlich ist eine Einbusse an funktionellem Leistungsvermögen im bisherigen Beruf von mindestens 20 % ( BGE 144 V 58 E. 4.4 S. 62 mit Hinweisen). Der Anspruch setzt sodann einen engen zeitlichen und sachlichen Zusammenhang zwischen der während des Vorsorgeverhältnisses (einschliesslich Nachdeckungsfrist für die Risiken Tod und Invalidität nach Art. 10 Abs. 3 BVG ) bestandenen Arbeitsunfähigkeit und der allenfalls erst später eingetretenen Invalidität voraus ( Art. 28 und 29 IVG i.V.m. Art. 26 Abs. 1 BVG ; BGE 138 V 409 E. 6.2 S. 419; 134 V 20 E. 3.2 S. 22), was hier unbestritten zutrifft.</w:t>
      </w:r>
    </w:p>
    <w:p>
      <w:r>
        <w:rPr>
          <w:b/>
        </w:rPr>
        <w:t>E. 4</w:t>
      </w:r>
    </w:p>
    <w:p>
      <w:r>
        <w:t>Die Vorinstanz ist in Würdigung der Akten zum Ergebnis gelangt, es bestünden zwar gewisse Anhaltspunkte, dass die massgebliche Arbeitsunfähigkeit während der Dauer der Vorsorgeversicherung durch die Beschwerdegegnerin eingetreten sein könnte. Als gewichtig könnten diese jedoch nicht gewertet werden. Insgesamt könne nicht mit dem Beweisgrad der überwiegenden Wahrscheinlichkeit darauf geschlossen werden, dass die kognitiven Einschränkungen infolge der Hirntumoroperation im... 1998, die letztlich zur Invalidität des Beigeladenen führten, bereits während der Dauer der Vorsorgedeckung durch die Beschwerdegegnerin zu einer relevanten Arbeitsunfähigkeit geführt hatten. Diese sei daher nicht leistungspflichtig, ein Regressanspruch ihr gegenüber somit in Abweisung der Klage zu verneinen.</w:t>
      </w:r>
    </w:p>
    <w:p>
      <w:r>
        <w:rPr>
          <w:b/>
        </w:rPr>
        <w:t>E. 5.1</w:t>
      </w:r>
    </w:p>
    <w:p>
      <w:r>
        <w:t>Die Beschwerdeführerin rügt, das kantonale Sozialversicherungsgericht habe die rechtserheblichen Tatsachen unvollständig festgestellt ( BGE 135 V 23 E. 2 S. 25), indem es die Ergebnisse der beruflichen Massnahmen der Invalidenversicherung nicht in die Beurteilung habe einfliessen lassen. Entgegen den in weiten Teilen appellatorischen Vorbringen in der Beschwerde kann indessen die vorinstanzliche Sachverhaltsfeststellung und Beweiswürdigung auch bei Berücksichtigung der betreffenden Unterlagen nicht als willkürlich bezeichnet werden.</w:t>
      </w:r>
    </w:p>
    <w:p>
      <w:r>
        <w:rPr>
          <w:b/>
        </w:rPr>
        <w:t>E. 5.2.1</w:t>
      </w:r>
    </w:p>
    <w:p>
      <w:r>
        <w:t>Die Beschwerdeführerin bringt vor, die Invalidisierung sei Spätfolge der Hirntumoroperation vom... 1998. Die kognitiven Störungen hätten sich typischerweise schleichend entwickelt, nicht plötzlich und erst nach der Kündigung durch die X.________ SA im Januar 2004. Die im Schreiben der Firma vom 7. Juli 2008 erwähnten Defizite (Aufgaben immer sehr ungern gemacht, fehlende Eigeninitiative) seien typische Folgen eines solchen Eingriffs. Der Beigeladene habe sich lange Zeit selber überschätzt. Aufgrund der fehlenden Einsicht und Anerkennung seiner Defizite habe er nicht adäquat darauf reagieren können. Ihm sei wegen mangelnder Leistung gekündigt worden. Die Vorinstanz gehe willkürlich davon aus, die Defizite hätten sich erst nach der Kündigung entwickelt.</w:t>
      </w:r>
    </w:p>
    <w:p>
      <w:r>
        <w:rPr>
          <w:b/>
        </w:rPr>
        <w:t>E. 5.2.2</w:t>
      </w:r>
    </w:p>
    <w:p>
      <w:r>
        <w:t>Wie indessen die Beschwerdeführerin selber einräumt, hatten sich die Defizite erst nach der Kündigung (richtig) manifestiert und waren dem Beigeladenen (richtig) bewusst geworden. Sodann, selbst wenn sich die kognitiven Störungen schleichend entwickelt haben sollten, bleibt die Frage offen, in welchem Zeitpunkt (spätestens) die nach Art. 23 lit. a BVG relevante Arbeitsunfähigkeit, deren Ursache zur Invalidität geführt hat, eingetreten war. Aufgrund der unbestrittenen Angaben der X.________ SA im Schreiben vom 7. Juli 2008, wonach er diverse Aufgaben (schon) immer sehr ungern gemacht und es in all den Jahren an Eigeninitiative gefehlt habe, kann nicht rechtsgenüglich ausgeschlossen werden, dass das funktionelle Leistungsvermögen bereits bei Stellenantritt am... 2001 durch kognitive Störungen als Folge der Hirntumoroperation vom... 1998 zu mindestens 20 % eingeschränkt war, was genügt, um eine Leistungspflicht der Beschwerdegegnerin auszuschliessen (E. 2; vgl. auch Urteil 9C_630/2017 vom 9. Mai 2018 E. 3).</w:t>
      </w:r>
    </w:p>
    <w:p>
      <w:r>
        <w:rPr>
          <w:b/>
        </w:rPr>
        <w:t>E. 5.3</w:t>
      </w:r>
    </w:p>
    <w:p>
      <w:r>
        <w:t>Nach dem Gesagten ist die Beschwerde unbegründet.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