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9C_165/2014 vom 25. Juni 2014</w:t>
      </w:r>
    </w:p>
    <w:p>
      <w:r>
        <w:t>Bundesgericht, 2014-06-25, DE</w:t>
      </w:r>
    </w:p>
    <w:p>
      <w:r>
        <w:rPr>
          <w:b/>
        </w:rPr>
        <w:t xml:space="preserve">Quelle: </w:t>
      </w:r>
      <w:r>
        <w:t>https://mcp.opencaselaw.ch/entscheid/bger_9C_165_2014</w:t>
      </w:r>
    </w:p>
    <w:p>
      <w:r>
        <w:t>FR: TF 9C_165/2014 du 25 juin 2014</w:t>
      </w:r>
    </w:p>
    <w:p>
      <w:r>
        <w:t>IT: TF 9C_165/2014 del 25 giugno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Im Streit steht die Frage, ob die Beschwerdeführerin Anspruch auf anteilsmässige Vergütung der durch die stationäre Behandlung in den USA entstandenen Kosten zu Lasten des Wohnkantons hat.</w:t>
      </w:r>
    </w:p>
    <w:p>
      <w:r>
        <w:t>Die seit 1. Januar 2009 geltende Fassung von Art. 41 Abs. 3 KVG lautet wie folgt: Beansprucht die versicherte Person bei einer stationären Behandlung aus medizinischen Gründen ein nicht auf der Spitalliste des Wohnkantons aufgeführtes Spital, so übernehmen der Versicherer und der Wohnkanton die Vergütung anteilsmässig nach Artikel 49a. Mit Ausnahme des Notfalls ist dafür eine Bewilligung des Wohnkantons notwendig.</w:t>
      </w:r>
    </w:p>
    <w:p>
      <w:r>
        <w:rPr>
          <w:b/>
        </w:rPr>
        <w:t>E. 3</w:t>
      </w:r>
    </w:p>
    <w:p>
      <w:r>
        <w:t>Die Vorinstanz erwog, gemäss Rechtsprechung des Eidgenössischen Versicherungsgerichts (Urteil K 91/04 vom 15. November 2004, in: RKUV 2005 Nr. KV 317 S. 35) beziehe sich aArt. 41 Abs. 3 KVG (in der bis 31. Dezember 2008 gültig gewesenen Fassung) auf das Verhältnis zwischen inner- und ausserkantonalen Spitälern in der Schweiz. Eine analoge Anwendung auf ein internationales Verhältnis falle ausser Betracht. Im Rahmen der KVG-Revision von 2007 sei in Art. 41 Abs. 3 KVG auf eine Unterscheidung zwischen öffentlichen und öffentlich subventionierten Spitälern auf der einen Seite und nicht subventionierten Privatspitälern auf der anderen Seite verzichtet worden. Ziel dieser Änderung sei die Gleichstellung zwischen öffentlichen und privaten Spitälern. Indes habe Art. 41 Abs. 3 KVG , was das Territorialitätsprinzip betreffe, keine Änderung erfahren. Folglich könne die Rechtsprechung des Eidgenössischen Versicherungsgerichts zu aArt. 41 Abs. 3 KVG weiterhin Geltung beanspruchen. Soweit sich die Beschwerdeführerin auf Art. 36 KVV berufe, übersehe sie, dass diese Bestimmung die Leistungspflicht der Krankenversicherer betreffe, nicht aber die Wohnsitzkantone zur Zahlung von Auslandsbehandlungen verpflichte. Die Kostenübernahme von Auslandsbehandlungen richte sich damit abschliessend nach Art. 34 Abs. 2 KVG i.V.m. Art. 36 KVV . Schliesslich verbiete sich aufgrund der klaren gesetzlichen Regelung die Annahme einer richterlich zu schliessenden Gesetzeslücke.</w:t>
      </w:r>
    </w:p>
    <w:p>
      <w:r>
        <w:rPr>
          <w:b/>
        </w:rPr>
        <w:t>E. 4.1</w:t>
      </w:r>
    </w:p>
    <w:p>
      <w:r>
        <w:t>Die Beschwerdeführerin rügt eine Bundesrechtsverletzung dergestalt, dass unter der Herrschaft der neuen, ab 1. Januar 2012 geltenden Spitalfinanzierung nicht an der bisherigen Rechtsprechung festgehalten werden könne. Auch wenn der Wortlaut des neuen Art. 41 Abs. 3 KVG die Auslandsbehandlung nicht explizit erwähne, gehe aus den Materialien zum revidierten KVG klar hervor, dass mit der neuen Spitalfinanzierung generell und ausnahmslos die anteilsmässige Finanzierung (dual-fixe Abgeltung) der Leistungen der stationären Behandlungen durch Wohnkanton und Krankenversicherer eingeführt werden sollte. Art. 41 Abs. 3 KVG müsse unter Berücksichtigung dieser neuen Zielsetzung ausgelegt werden.</w:t>
      </w:r>
    </w:p>
    <w:p>
      <w:r>
        <w:rPr>
          <w:b/>
        </w:rPr>
        <w:t>E. 4.2</w:t>
      </w:r>
    </w:p>
    <w:p>
      <w:r>
        <w:t>Gesetzgeberische Absicht des bis Ende 2008 in Kraft gestandenen aArt. 41 Abs. 3 KVG war es, einen gewissen Lastenausgleich zwischen Kantonen mit unterschiedlichen Spitalversorgungsgraden sowie eine verstärkte Koordination zwischen den Kantonen im Bereich der Spitalplanung zu erzielen ( BGE 133 V 123 E. 3.2 S. 126; erwähntes Urteil K 91/04 E. 3.1; je mit Hinweisen). Der klare Wortlaut des aArt. 41 Abs. 3 machte deutlich, dass sich die Norm lediglich auf medizinisch begründete, ausserhalb des Wohnkantons durchgeführte Behandlungen in der Schweiz bezog. Mit Teilrevision vom 21. Dezember 2007 des Bundesgesetzes über die Krankenversicherung (KVG; AS 2008 2049), in Kraft getreten am 1. Januar 2009 (AS 2008 2057), begründete der Bundesgesetzgeber ein neues System der Spitalfinanzierung, welches durch die Kantone bis Ende 2011 umzusetzen war (Abs. 1 der Übergangsbestimmungen [AS 2008 2056]; vgl. auch BERNHARD RÜTSCHE, Neue Spitalfinanzierung und Spitalplanung, 2011, S. 5). Dass sich mit dieser Revision an der Zielsetzung von Art. 41 Abs. 3 KVG etwas geändert haben sollte, ist nicht ersichtlich. Vielmehr wird diese mit der neuen Spitalfinanzierung bekräftigt ( BGE 138 II 398 E. 2.3.1-2.3.3 S. 406 f.). In der Botschaft vom 15. September 2004 betreffend die Änderung des Bundesgesetzes über die Krankenversicherung (Spitalfinanzierung) wird denn auch ausgeführt, es sei klarzustellen, dass der Wohnkanton nicht nur innerhalb, sondern auch ausserhalb des Kantons, unabhängig von der Aufführung eines Spitals auf seiner eigenen Liste, den nach Art. 49 (KVG) geschuldeten Anteil zu übernehmen habe, wenn aufgrund medizinischer Notwendigkeit ein ausserhalb seiner eigenen Liste zugelassener Leistungserbringer aufgesucht werden müsse (BBl 2004 5551, 5577 Ziff. 3 zu Art. 41 Abs. 3 KVG ; vgl. auch BBl 2001 741 ff. betreffend die - vom Parlament abgelehnte - Teilrevision des KVG; vgl. Hinweis in BGE 138 II 398 E. 2.3.1 S. 406). Die Formulierungen "ausserhalb des Kantons" bzw. "ein ausserhalb seiner eigenen Liste zugelassener Leistungserbringer" machen deutlich, dass die Regelung - nach wie vor - nur ausserkantonale Leistungserbringer (und nicht Leistungserbringer ausserhalb der Schweiz) beschlägt. Insbesondere erhellt dies daraus, dass von einem "zugelassenen Leistungserbringer" die Rede ist, womit der Gesetzgeber Bezug nimmt auf die auf der Spitalliste des Wohn- oder Standortkantons aufgeführten Spitäler ( Art. 39 Abs. 1 lit. e KVG ; BBl 2004 5576 Ziff. 3 zu Art. 41 Abs. 1 KVG ; vgl. auch GEBHARD EUGSTER, Bundesgesetz über die Krankenversicherung [KVG], 2010, N. 8 zu Art. 41 KVG i.f. S. 283; BERNHARD RÜTSCHE, a.a.O., S. 59 Rz. 124). Zu keinem anderen Ergebnis führen die von der Beschwerdeführerin zitierten Stellen in den Materialien (BBl 2004 5564 Ziff. 1.5, 5569 Ziff. 2.3), welche - ebenso wie die übrigen Teile der Botschaft - nirgends einen Hinweis enthalten auf stationäre Behandlungen im Ausland. Auch der Einwand, der Gesetzgeber habe ausnahmslos (und damit auch für Auslandsleistungen) eine anteilsmässige Finanzierung der stationären Behandlungen beabsichtigt, geht fehl. Diese Annahme trifft bereits für stationäre Behandlungen in der Schweiz nicht zu (BBl 2004 5576 Ziff. 3). Soweit sich die Beschwerdeführerin auf die Empfehlungen zum Verfahren betreffend die Beiträge der Kantone bei ausserkantonalen Spitalbehandlungen nach Art. 41 Abs. 3 KVG der Schweizerischen Konferenz der kantonalen Gesundheitsdirektorinnen und -direktoren (GDK) vom 2. September 2011 (abrufbar unter http://www.gdk-cds.ch) beruft, kann sie daraus ebenfalls nichts zu ihren Gunsten ableiten. Abgesehen davon, dass die Empfehlungen für das Gericht nicht verbindlich sind, bezieht sich die von der Beschwerdeführerin zitierte Empfehlung 1 Ziff. 1.4 ausschliesslich auf Behandlungen in Spitälern der Schweiz.</w:t>
      </w:r>
    </w:p>
    <w:p>
      <w:r>
        <w:t>Nach dem hievor Ausgeführten regelt Art. 41 Abs. 3 (i.V.m. Art. 49a) KVG auch in der ab 1. Januar 2009 geltenden Fassung allein stationäre Behandlungen in der Schweiz. Die für Auslandsbehandlungen einschlägige Norm ( Art. 34 Abs. 2 KVG ), welche durch die neue Spitalfinanzierung keine Änderung erfahren hat, sieht eine Leistungspflicht ausschliesslich für die Krankenversicherer vor (erwähntes Urteil K 91/04 E. 4).</w:t>
      </w:r>
    </w:p>
    <w:p>
      <w:r>
        <w:rPr>
          <w:b/>
        </w:rPr>
        <w:t>E. 4.3</w:t>
      </w:r>
    </w:p>
    <w:p>
      <w:r>
        <w:t>Wie bereits im kantonalen Verfahren macht die Beschwerdeführerin geltend, es sei von einer echten Gesetzeslücke auszugehen, welche richterlicher Schliessung bedürfe. Mit der Vorinstanz verbietet sich jedoch der Schluss auf eine echte Lücke, da sich die Antwort auf die vorliegende Rechtsfrage direkt aus dem Gesetz ergibt und zwar in dem Sinne, dass der Kanton keinen anteilsmässigen Beitrag für die Auslandsbehandlung zu erbringen hat ( Art. 34 Abs. 2 KVG e contrario).</w:t>
      </w:r>
    </w:p>
    <w:p>
      <w:r>
        <w:rPr>
          <w:b/>
        </w:rPr>
        <w:t>E. 5</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