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165/2008 vom 7. August 2008</w:t>
      </w:r>
    </w:p>
    <w:p>
      <w:r>
        <w:t>Bundesgericht, 2008-08-07, DE</w:t>
      </w:r>
    </w:p>
    <w:p>
      <w:r>
        <w:rPr>
          <w:b/>
        </w:rPr>
        <w:t xml:space="preserve">Quelle: </w:t>
      </w:r>
      <w:r>
        <w:t>https://mcp.opencaselaw.ch/entscheid/bger_9C_165_2008</w:t>
      </w:r>
    </w:p>
    <w:p>
      <w:r>
        <w:t>FR: TF 9C 165/2008 du 7 août 2008</w:t>
      </w:r>
    </w:p>
    <w:p>
      <w:r>
        <w:t>IT: TF 9C 165/2008 del 7 agosto 2008</w:t>
      </w:r>
    </w:p>
    <w:p>
      <w:pPr>
        <w:pStyle w:val="Heading2"/>
      </w:pPr>
      <w:r>
        <w:t>Regeste</w:t>
      </w:r>
    </w:p>
    <w:p>
      <w:r>
        <w:t>Invalidenversicherung | Invalidenversicherung</w:t>
      </w:r>
    </w:p>
    <w:p>
      <w:pPr>
        <w:pStyle w:val="Heading2"/>
      </w:pPr>
      <w:r>
        <w:t>Erwägungen</w:t>
      </w:r>
    </w:p>
    <w:p>
      <w:r>
        <w:rPr>
          <w:b/>
        </w:rPr>
        <w:t>E. 1.1</w:t>
      </w:r>
    </w:p>
    <w:p>
      <w:r>
        <w:t>Sowohl im Verwaltungs- ( Art. 37 Abs. 4 ATSG ) als auch im Beschwerdeverfahren ( Art. 61 lit. f ATSG ) setzt der Anspruch auf unentgeltliche Verbeiständung die Bedürftigkeit der gesuchstellenden Partei, die fehlende Aussichtslosigkeit der Rechtsbegehren (vgl. dazu BGE 129 I 129 E. 2.3.1 S. 135 mit Hinweisen) sowie die sachliche Gebotenheit des Beizugs eines Anwalts voraus ( BGE 132 V 200 E. 4.1 S. 200 f. und E. 5.1.3 S. 204).</w:t>
      </w:r>
    </w:p>
    <w:p>
      <w:r>
        <w:rPr>
          <w:b/>
        </w:rPr>
        <w:t>E. 1.2</w:t>
      </w:r>
    </w:p>
    <w:p>
      <w:r>
        <w:t>Nach der Rechtsprechung drängt sich im Vorbescheidverfahren eine anwaltliche Verbeiständung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 1 S. 201). Dass diese Voraussetzungen im Verwaltungsverfahren offensichtlich nicht erfüllt waren, hat die Vorinstanz zutreffend erkannt. Denn im Vorbescheidverfahren war einzig streitig, wie der Gesundheitszustand des Beschwerdeführers zu beurteilen ist, womit kein Ausnahmefall mit schwierigen rechtlichen oder tatsächlichen Fragen, sondern im Gegenteil ein Fall von eher unterdurchschnittlicher Komplexität zu entscheiden war. Würde die unentgeltliche Verbeiständung in diesem Fall gewährt, liefe dies darauf hinaus, dass der Anspruch in praktisch allen oder den meisten Vorbescheid- oder Einspracheverfahren bejaht werden müsste, was indessen der gesetzlichen Konzeption widerspräche (Urteile I 113/07 vom 21. März 2007 und I 746/06 vom 8. November 2006).</w:t>
      </w:r>
    </w:p>
    <w:p>
      <w:r>
        <w:rPr>
          <w:b/>
        </w:rPr>
        <w:t>E. 1.3</w:t>
      </w:r>
    </w:p>
    <w:p>
      <w:r>
        <w:t>Wegen Aussichtslosigkeit des Rechtsbegehrens hat die Vorinstanz sodann zu Recht auch das Gesuch um unentgeltliche Rechtspflege für das kantonale Verfahren abgelehnt. Denn wenn - wie in E. 1.2 dargelegt - die Voraussetzungen der unentgeltlichen Rechtspflege für das Vorbescheidverfahren offensichtlich nicht erfüllt waren, hat das kantonale Gericht die Gewinnaussichten der gegen die Gesuchsablehnung eingereichten Beschwerde zutreffend als beträchtlich geringer als die Verlustgefahren eingeschätzt.</w:t>
      </w:r>
    </w:p>
    <w:p>
      <w:r>
        <w:rPr>
          <w:b/>
        </w:rPr>
        <w:t>E. 1.4</w:t>
      </w:r>
    </w:p>
    <w:p>
      <w:r>
        <w:t>Auf das Begehren des Beschwerdeführers um Feststellung, dass die Gesuche um unentgeltliche Verbeiständung im Vorbescheid- und im kantonalen Verfahren nicht rechtsmissbräuchlich waren, ist mangels Rechtsschutzinteresse nicht einzutreten.</w:t>
      </w:r>
    </w:p>
    <w:p>
      <w:r>
        <w:rPr>
          <w:b/>
        </w:rPr>
        <w:t>E. 2</w:t>
      </w:r>
    </w:p>
    <w:p>
      <w:r>
        <w:t>Der Beschwerdeführer als unterliegende Partei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