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164/2018 vom 27. Juli 2018</w:t>
      </w:r>
    </w:p>
    <w:p>
      <w:r>
        <w:t>Bundesgericht, 2018-07-27, FR</w:t>
      </w:r>
    </w:p>
    <w:p>
      <w:r>
        <w:rPr>
          <w:b/>
        </w:rPr>
        <w:t xml:space="preserve">Quelle: </w:t>
      </w:r>
      <w:r>
        <w:t>https://mcp.opencaselaw.ch/entscheid/bger_9C_164_2018</w:t>
      </w:r>
    </w:p>
    <w:p>
      <w:r>
        <w:t>FR: TF 9C 164/2018 du 27 juillet 2018</w:t>
      </w:r>
    </w:p>
    <w:p>
      <w:r>
        <w:t>IT: TF 9C 164/2018 del 27 luglio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Seul est litigieux le taux d'invalidité déterminant pour le droit à la rente d'invalidité accordée à l'intimé depuis le 1er octobre 2007, en particulier le point de savoir quel est le revenu sans invalidité devant être retenu pour la comparaison des revenus prescrite à l' art. 16 LPGA (RS 830.1) dans le cadre de la procédure de révision engagée le 9 février 2010.</w:t>
      </w:r>
    </w:p>
    <w:p>
      <w:r>
        <w:rPr>
          <w:b/>
        </w:rPr>
        <w:t>E. 3</w:t>
      </w:r>
    </w:p>
    <w:p>
      <w:r>
        <w:t>L'office recourant reproche essentiellement au tribunal cantonal d'avoir fixé le revenu sans invalidité de l'intimé, avant indexation, à 101'295 fr. 70 en tenant compte du salaire principal perçu durant l'année 2005 et en y ajoutant le montant annualisé des revenus accessoires obtenus à partir du mois de juillet 2006. Il prétend que selon le compte individuel, l'assuré n'avait jamais perçu ce montant même s'il admet l'exercice constant d'activités accessoires et temporaires. Il soutient que rien ne démontre que cet exercice aurait perduré tel quel dans le futur étant donné justement le caractère temporaire ou saisonnier desdites activités accessoires. Il considère qu'eu égard à la variation annuelle du revenu sans invalidité telle qu'elle ressort du compte individuel, le procédé qu'il avait suggéré d'adopter durant la procédure cantonale (moyenne des rémunérations obtenues pendant les cinq dernières années) permettait de refléter la situation économique concrète de l'intimé.</w:t>
      </w:r>
    </w:p>
    <w:p>
      <w:r>
        <w:rPr>
          <w:b/>
        </w:rPr>
        <w:t>E. 4.1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(cf. ATF 139 V 592 consid. 2.3 p. 593; 129 V 222 consid. 4.3.1 p. 224). Il est néanmoins possible de s'écarter du salaire réalisé en dernier lieu lorsqu'on ne peut le déterminer sûrement, notamment lorsqu'il est soumis à des fluctuations importantes; il faut alors procéder à une moyenne des gains réalisés sur une période relativement longue (arrêt I 370/84 du 25 février 1985, in RCC 1985 p. 474).</w:t>
      </w:r>
    </w:p>
    <w:p>
      <w:r>
        <w:rPr>
          <w:b/>
        </w:rPr>
        <w:t>E. 4.2</w:t>
      </w:r>
    </w:p>
    <w:p>
      <w:r>
        <w:t>N'est pas déterminant pour la fixation du revenu hypothétique de la personne valide le salaire que la personne assurée réaliserait actuellement auprès de son ancien employeur (ou de ses anciens employeurs comme en l'occurrence) mais bien plutôt celui qu'elle réaliserait si elle n'était pas devenue invalide. A l'instar de ce qui prévaut pour les salaires supérieurs à la moyenne (cf. arrêt 9C_5/2009 du 16 juillet 2009 consid. 2.3, in SVR 2009 IV n° 58 p. 181; voir également arrêts 8C_592/2017 du 16 mars 2018 consid. 2.2; 9C_394/2013 du 27 septembre 2013 consid. 3.4; I 95/03 du 28 janvier 2004 consid. 4.2.2; MICHEL VALTERIO, Droit de l'assurance-vieillesse et survivants [AVS] et de l'assurance-invalidité [AI], 2011, n° 2082 p. 552; MEYER/REICHMUTH, Bundesgesetz über die Invalidenversicherung [IVG], 3e éd. 2014, nos 47 ss ad art. 28a), le salaire réalisé en dernier lieu par la personne assurée (composé en l'espèce d'une rémunération principale et de rémunérations accessoires) ne peut être pris en considération au titre de revenu sans invalidité que s'il est établi au degré de la vraisemblance prépondérante que la personne assurée aurait continué à le percevoir.</w:t>
      </w:r>
    </w:p>
    <w:p>
      <w:r>
        <w:rPr>
          <w:b/>
        </w:rPr>
        <w:t>E. 5.1</w:t>
      </w:r>
    </w:p>
    <w:p>
      <w:r>
        <w:t>L'argumentation développée par l'administration est fondée. Il ressort effectivement des constatations des premiers juges qu'au moment de la survenance de l'accident, l'intimé était sous contrat avec le Foyer de jour C.________ pour un salaire annuel (en 2005) de 63'385 fr., avait perçu un salaire de 8'515 fr. auprès de l'Hôtel D.________ entre les mois de juillet et d'octobre 2006 et avait obtenu de E.________ SA pour la même période une rémunération de 8'811 fr. 40. Le fait que l'assuré était "coutumier du cumul d'activités" a été clairement reconnu par la juridiction cantonale, n'est du reste pas contesté par l'office recourant qui avait abouti à la même conclusion pendant la procédure judiciaire cantonale sur la base du compte individuel et doit par conséquent être pris en compte dans la détermination du revenu sans invalidité. Toutefois, conformément à ce que soutient l'administration, aucun élément objectif du dossier ne permet de retenir au degré de vraisemblance requis que l'intimé aurait continué à percevoir les rémunérations accessoires versées entre juillet et octobre 2006 par l'Hôtel D.________ et de E.________ SA. Au contraire, la nature même des contrats signés avec ces deux employeurs démontre le caractère précaire ou temporaire des emplois en question: l'assuré travaillait comme cuisinier de nuit en extra, sur appel pour le compte du premier employeur et effectuait des missions temporaires (celle en cours au moment de l'accident devait durer trois mois) pour le second ou pour d'autres sociétés d'emplois temporaires. Rien ne permet d'affirmer que l'intimé aurait continué d'être appelé par l'Hôtel D.________, d'autant moins que le taux d'occupation n'avait cessé de diminuer au cours des quatre mois durant lesquels l'assuré avait travaillé pour cet employeur indépendamment de la survenance de l'accident. De même, rien n'atteste que les missions temporaires pour E.________ SA se seraient succédées sans discontinuité ou, du moins, que le montant du salaire perçu pour chaque éventuelle nouvelle mission aurait été le même, d'autant moins que cet employeur n'apparaît en cette qualité qu'une fois sur le compte individuel de l'intimé depuis 1981. Dans ces circonstances, le tribunal cantonal a violé le droit fédéral en partant du principe que les rémunérations accessoires versées avant l'accident auraient très vraisemblablement continué à l'être par la suite.</w:t>
      </w:r>
    </w:p>
    <w:p>
      <w:r>
        <w:rPr>
          <w:b/>
        </w:rPr>
        <w:t>E. 5.2</w:t>
      </w:r>
    </w:p>
    <w:p>
      <w:r>
        <w:t>Compte tenu de ce qui précède, il convient d'annuler le jugement entrepris et de confirmer la décision administrative litigieuse dès lors que, comme l'avait indiqué l'administration, la moyenne de tous les revenus (principal et accessoires) réalisés durant les cinq ans précédant l'accident permettaient concrètement de tenir compte du fait que l'assuré exerçait simultanément plusieurs activités lucratives mais que le calcul en résultant démontrait l'absence d'incidence significative sur le taux d'invalidité déjà reconnu.</w:t>
      </w:r>
    </w:p>
    <w:p>
      <w:r>
        <w:rPr>
          <w:b/>
        </w:rPr>
        <w:t>E. 6</w:t>
      </w:r>
    </w:p>
    <w:p>
      <w:r>
        <w:t>Vu l'issue du litige, les frais judiciaires sont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