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164/2007 vom 14. September 2007</w:t>
      </w:r>
    </w:p>
    <w:p>
      <w:r>
        <w:t>Bundesgericht, 2007-09-14, DE</w:t>
      </w:r>
    </w:p>
    <w:p>
      <w:r>
        <w:rPr>
          <w:b/>
        </w:rPr>
        <w:t xml:space="preserve">Quelle: </w:t>
      </w:r>
      <w:r>
        <w:t>https://mcp.opencaselaw.ch/entscheid/bger_9C_164_2007</w:t>
      </w:r>
    </w:p>
    <w:p>
      <w:r>
        <w:t>FR: TF 9C 164/2007 du 14 septembre 2007</w:t>
      </w:r>
    </w:p>
    <w:p>
      <w:r>
        <w:t>IT: TF 9C 164/2007 del 14 settembre 2007</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w:t>
      </w:r>
    </w:p>
    <w:p>
      <w:r>
        <w:rPr>
          <w:b/>
        </w:rPr>
        <w:t>E. 2</w:t>
      </w:r>
    </w:p>
    <w:p>
      <w:r>
        <w:t>Streitig ist, ob die Beschwerdeführerin auch nach dem 1. Juni 2006 Anspruch auf eine Invalidenrente hat. Das kantonale Versicherungsgericht hat die zur Beurteilung des Leistungsanspruchs einschlägigen Rechtsgrundlagen zutreffend dargelegt. Darauf wird verwiesen.</w:t>
      </w:r>
    </w:p>
    <w:p>
      <w:r>
        <w:rPr>
          <w:b/>
        </w:rPr>
        <w:t>E. 3</w:t>
      </w:r>
    </w:p>
    <w:p>
      <w:r>
        <w:t>Als erstes ist die Frage zu prüfen, in welchem Ausmass die Beschwerdeführerin noch arbeitsfähig ist.</w:t>
      </w:r>
    </w:p>
    <w:p>
      <w:r>
        <w:rPr>
          <w:b/>
        </w:rPr>
        <w:t>E. 3.1</w:t>
      </w:r>
    </w:p>
    <w:p>
      <w:r>
        <w:t>Es ist unbestritten, dass die Versicherte aufgrund der erheblichen Funktionseinschränkung in der rechten Hand ihren bisherigen Beruf als Zimmermädchen nicht mehr ausüben kann. Das kantonale Gericht kommt jedoch in einlässlicher Würdigung der medizinischen Unterlagen, insbesondere der Berichte der behandelnden und der Ärzte des Regionalen Ärztlichen Dienstes R.________, zum Schluss, dass der Beschwerdeführerin ab Mitte Februar 2006 eine körperlich leichte Tätigkeit unter Beachtung gewisser Einschränkungen (wechselnde Tätigkeit, keine schweren und mittelschweren Arbeiten, kein repetitives und Heben von Gewichten über 5 kg) ganztags zumutbar sei. Diese Feststellung über die Arbeits(un)fähigkeit ist tatsächlicher Natur und daher für das Bundesgericht verbindlich (vgl. E. 1), da nicht von einer offensichtlich unrichtigen Sachverhaltsfeststellung oder Rechtsverletzung im Sinne von Art. 95 BGG die Rede sein kann. Daran ändert nichts, dass die Vorinstanz irrtümlich die Arthrodese (operative Gelenkversteifung) der rechten Hand als medizinisch nicht nachgewiesen erachtet. Jedenfalls geht sie zutreffend von den aktenkundigen Funktionseinschränkungen ein. Die Beschwerdeführerin kann sich demgegenüber zur Untermauerung ihrer Auffassung, sie sei vollständig arbeitsunfähig, weder auf abweichende medizinische Berichte stützen, noch von den vorhandenen etwas zu ihren Gunsten ableiten. Mit der vorinstanzlichen Würdigung der medizinischen Akten setzt sie sich nicht auseinander. Sie verkennt, dass ihr - auch gemäss Hausarzt - zentrales Gesundheitsproblem, die Adipositas per magna, rechtsprechungsgemäss grundsätzlich keine zu Rentenleistungen berechtigende Invalidität bewirkt (ZAK 1984 S. 345 E. 3 mit Hinweisen; Urteil der II. sozialrechtlichen Abteilung des Bundesgerichts vom 5. Juni 2007 in Sachen V., I 757/06). Soweit sie schliesslich neuere Arztberichte ins Recht legen lässt, übersieht sie, dass Bezugsgrösse für die Feststellung des Sachverhalts der für dieses Verfahren allein massgebende Zeitraum bis zum Erlass des Einspracheentscheids vom 20. Juli 2006 ist ( BGE 131 V 242 E. 2.1 S. 243 mit Hinweisen). Spätere medizinische Berichte sind nicht in die Beurteilung miteinzubeziehen, wenn sie, wie hier, keine Rückschlüsse auf die im Zeitpunkt des Abschlusses des Verwaltungsverfahrens bestehende Situation erlauben (vgl. BGE 121 V 362 E. 1b in fine S. 366). Die Frage, ob sich nach der Operation vom 30. März 2007 die Arbeitsfähigkeit der Beschwerdeführerin verändert hat, ist somit nicht Gegenstand des vorliegenden Verfahrens, sondern könnte allenfalls im Rahmen einer Neuanmeldung vorgebracht werden (Art. 87 Abs. 4 i.V.m. Abs. 3 IVV).</w:t>
      </w:r>
    </w:p>
    <w:p>
      <w:r>
        <w:rPr>
          <w:b/>
        </w:rPr>
        <w:t>E. 3.2</w:t>
      </w:r>
    </w:p>
    <w:p>
      <w:r>
        <w:t>Angesichts der schlüssigen medizinischen Aktenlage bedarf es keiner weiteren medizinischen Abklärungen, weshalb von der eventualiter beantragten Rückweisung abzusehen ist (antizipierte Beweiswürdigung; BGE 124 V 90 E. 4b S. 94).</w:t>
      </w:r>
    </w:p>
    <w:p>
      <w:r>
        <w:rPr>
          <w:b/>
        </w:rPr>
        <w:t>E. 4</w:t>
      </w:r>
    </w:p>
    <w:p>
      <w:r>
        <w:t>Es bleibt zu prüfen, wie sich die leidensangepasste Arbeitsfähigkeit erwerblich auswirkt.</w:t>
      </w:r>
    </w:p>
    <w:p>
      <w:r>
        <w:rPr>
          <w:b/>
        </w:rPr>
        <w:t>E. 4.1</w:t>
      </w:r>
    </w:p>
    <w:p>
      <w:r>
        <w:t>Für die Bemessung der Invalidität bei einem erwerbstätigen Versicherten wird das Erwerbseinkommen, das er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Art. 28 Abs. 2 IVG ). Der 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135 E. 2a und b S. 136 f.).</w:t>
      </w:r>
    </w:p>
    <w:p>
      <w:r>
        <w:rPr>
          <w:b/>
        </w:rPr>
        <w:t>E. 4.2</w:t>
      </w:r>
    </w:p>
    <w:p>
      <w:r>
        <w:t>Wird das Invalideneinkommen auf der Grundlage von statistischen Durchschnittswerten ermittelt, ist der entsprechende Ausgangswert (Tabellenlohn) allenfalls zu kürzen. Damit soll der Tatsache Rechnung getragen werden, dass persönliche und berufliche Merkmale einer versicherten Person, wie Art und Ausmass der Behinderung, Lebensalter, Dienstjahre, Nationalität oder Aufenthaltskategorie und Beschäftigungsgrad Auswirkungen auf die Lohnhöhe haben können ( BGE 124 V 321 E. 3b/aa S. 323). Der Abzug hat nicht automatisch, sondern dann zu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Bei der Bestimmung der Höhe des Abzugs vom Tabellenlohn sodann ist nicht in der Weise vorzugehen, dass für jedes in Betracht fallende Merkmal separat eine Reduktion vorgenommen wird, weil damit Wechselwirkungen ausgeblendet würden. Vielmehr ist der Einfluss aller Merkmale auf das Invalideneinkommen (leidensbedingte Einschränkung, Alter, Dienstjahre, Nationalität, Aufenthaltskategorie und Beschäftigungsgrad) unter Würdigung der Umstände im Einzelfall nach pflichtgemässem Ermessen gesamthaft zu schätzen. Dabei ist der Abzug auf insgesamt höchstens 25% zu begrenzen ( BGE 126 V 75 E. 5b/aa-cc S. 79 f.).</w:t>
      </w:r>
    </w:p>
    <w:p>
      <w:r>
        <w:rPr>
          <w:b/>
        </w:rPr>
        <w:t>E. 4.3</w:t>
      </w:r>
    </w:p>
    <w:p>
      <w:r>
        <w:t>Die Beschwerdeführerin bemängelt, dass ihr im Rahmen der Berechnung des Invaliditätsgrades nicht der maximale Leidensabzug von 25% gewährt wurde. Dieser Einwand ist unbegründet. Die Frage der Höhe des Leidensabzuges ist eine typische Ermessensfrage, deren Beantwortung letztinstanzlicher Korrektur nur mehr dort zugänglich ist, wo das kantonale Gericht das Ermessen rechtsfehlerhaft ausgeübt hat, also Ermessensüberschreitung, -missbrauch oder -unterschreitung vorliegt ( BGE 132 V 393 E. 3.3 S. 399). Das trifft hier nicht zu. Inwiefern die Vorinstanz mit der Gewährung eines Abzuges von immerhin 10% das Ermessen in dargelegtem Sinne rechtsfehlerhaft ausgeübt haben soll, legt die Beschwerdeführerin auch nicht dar.</w:t>
      </w:r>
    </w:p>
    <w:p>
      <w:r>
        <w:rPr>
          <w:b/>
        </w:rPr>
        <w:t>E. 4.4</w:t>
      </w:r>
    </w:p>
    <w:p>
      <w:r>
        <w:t>Der Vollständigkeit halber ist darauf hinzuweisen, dass das kantonale Gericht dem offensichtlichen Umstand keine Rechnung getragen hat, dass das von der Beschwerdeführerin erzielte Valideneinkommen aus invaliditätsfremden Gründen weit unter den branchenüblichen Ansätzen lag (vgl. dazu BGE 129 V 222 E. 4.4 S. 225; ZAK 1989 S. 458 E. 3b). Allein, selbst wenn dieser invaliditätsfremde Gesichtspunkt überhaupt nicht oder dann bei beiden Vergleichsgrössen berücksichtigt würde, ergäbe sich ein rentenausschliessender Invaliditätsgrad von maximal 10%.</w:t>
      </w:r>
    </w:p>
    <w:p>
      <w:r>
        <w:rPr>
          <w:b/>
        </w:rPr>
        <w:t>E. 5</w:t>
      </w:r>
    </w:p>
    <w:p>
      <w:r>
        <w:t>Bei diesem Verfahrensausgang werden die Verfahrenskosten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