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9C_162/2020 vom 16. September 2020</w:t>
      </w:r>
    </w:p>
    <w:p>
      <w:r>
        <w:t>Bundesgericht, 2020-09-16, DE</w:t>
      </w:r>
    </w:p>
    <w:p>
      <w:r>
        <w:rPr>
          <w:b/>
        </w:rPr>
        <w:t xml:space="preserve">Quelle: </w:t>
      </w:r>
      <w:r>
        <w:t>https://mcp.opencaselaw.ch/entscheid/bger_9C_162_2020</w:t>
      </w:r>
    </w:p>
    <w:p>
      <w:r>
        <w:t>FR: TF 9C_162/2020 du 16 septembre 2020</w:t>
      </w:r>
    </w:p>
    <w:p>
      <w:r>
        <w:t>IT: TF 9C_162/2020 del 16 settembre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2</w:t>
      </w:r>
    </w:p>
    <w:p>
      <w:r>
        <w:t>Die Frage der Wiedererwägung ( Art. 53 Abs. 2 ATSG ) kann aus den nachfolgenden Gründen offen bleiben.</w:t>
      </w:r>
    </w:p>
    <w:p>
      <w:r>
        <w:rPr>
          <w:b/>
        </w:rPr>
        <w:t>E. 3</w:t>
      </w:r>
    </w:p>
    <w:p>
      <w:r>
        <w:t>Eine vom Versicherungsorgan wiedererwägungsweise vorgenommene Rentenaufhebung darf gegebenenfalls vom angerufenen Gericht gestützt auf Art. 17 Abs. 1 ATSG bestätigt werden, wenn dessen Voraussetzungen erfüllt sind und das rechtliche Gehör dazu gewährt worden ist (vgl. 9C_309/2017 vom 13. Juli 2017 E. 3.3.2 mit Hinweisen). Die Beschwerdeführerin hat sich im Rahmen des ihr gewährten rechtlichen Gehörs am 21. August 2020 zu den relevanten revisionsrechtlichen Aspekten äussern können. Es besteht keine Veranlassung, eine weitere Stellungnahme einzuholen.</w:t>
      </w:r>
    </w:p>
    <w:p>
      <w:r>
        <w:rPr>
          <w:b/>
        </w:rPr>
        <w:t>E. 4</w:t>
      </w:r>
    </w:p>
    <w:p>
      <w:r>
        <w:t>Festzulegen ist im Rahmen der Revisionsprüfung nach Art. 17 Abs. 1 ATSG , wonach eine Rente von Amtes wegen oder auf Gesuch hin für die Zukunft entsprechend erhöht, herabgesetzt oder aufgehoben wird, wenn sich der Invaliditätsgrad einer Rentenbezügerin oder eines Rentenbezügers erheblich ändert, zunächst der initial massgebende Referenzzeitpunkt.</w:t>
      </w:r>
    </w:p>
    <w:p>
      <w:r>
        <w:rPr>
          <w:b/>
        </w:rPr>
        <w:t>E. 4.1</w:t>
      </w:r>
    </w:p>
    <w:p>
      <w:r>
        <w:t>Zeitlicher Referenzpunkt für die Prüfung einer anspruchserheblichen Änderung im Sinne von Art. 17 Abs. 1 ATSG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Dabei ist unbeachtlich, ob der Rentenanspruch im Ergebnis bestätigt oder modifziert wird (vgl. BGE 133 V 108 E. 5 mit Hinweisen).</w:t>
      </w:r>
    </w:p>
    <w:p>
      <w:r>
        <w:t>Dieser Grundsatz gilt auch für Mitteilungen im Sinne von Art. 51 ATSG : Ändert sich nach durchgeführter Rentenrevision als Ergebnis einer materiellen Prüfung des Rentenanspruchs nichts und eröffnet die IV-Stelle deswegen das Revisionsergebnis gestützt auf Art. 74ter lit. f IVV auf dem Weg der blossen Mitteilung, ist im darauf folgenden Revisionsverfahren zeitlich zu vergleichender Ausgangssachverhalt derjenige, welcher der Mitteilung zugrunde lag (SVR 2013 IV Nr. 44       S. 134, 8C_441/2012 E. 3.1.2 mit Hinweisen).</w:t>
      </w:r>
    </w:p>
    <w:p>
      <w:r>
        <w:t>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(SVR 2013 IV Nr. 44 S. 134, 8C_441/2012 E. 6.2 mit Hinweisen).</w:t>
      </w:r>
    </w:p>
    <w:p>
      <w:r>
        <w:rPr>
          <w:b/>
        </w:rPr>
        <w:t>E. 4.2</w:t>
      </w:r>
    </w:p>
    <w:p>
      <w:r>
        <w:t>Nach der Rentenzusprache mit Verfügung vom 9. Mai 1994 wurde bei der Beschwerdeführerin im Juni 1994 an der rechten und im November 1995 an der linken Hüfte eine Totalprothese eingesetzt. Dr. med. B.________ schloss - insbesondere aufgrund der zweiten Operation - auf eine Verbesserung des Gesundheitszustandes (vgl. Arztberichte vom 9. Januar 1996 und 23. Februar 1998). Ab dem Zeitpunkt der operativen Eingriffe wurde die Arbeitsfähigkeit in leidensangepasster Tätigkeit im Rahmen der revisionsweisen Überprüfungen der Invalidenrente jedoch nicht (Arztberichte von Dr. med. B.________ vom 9. Januar 1996, 23. Februar 1998, 19. Februar 2001, 17. Juli 2003 und 27. Dezember 2006) respektive nicht schlüssig (Arztbericht von Dr. med. B.________ vom 17. April 2012, wonach die angestammte Tätigkeit noch zu vier Stunden pro Tag, eine leidensangepasste Tätigkeit jedoch nicht zumutbar gewesen sein soll) beurteilt. Die Unvollständigkeiten bzw. Widersprüche in den medizinischen Akten wurden seitens der Verwaltung nicht aufgeklärt.</w:t>
      </w:r>
    </w:p>
    <w:p>
      <w:r>
        <w:rPr>
          <w:b/>
        </w:rPr>
        <w:t>E. 4.3</w:t>
      </w:r>
    </w:p>
    <w:p>
      <w:r>
        <w:t>Sämtlichen Rentenrevisionen - insbesondere nach dem Gesagten (E. 4.2) auch der vorinstanzlich (für die Wiedererwägung) alternativ für massgeblich gehaltenen Mitteilung vom 24. März 1998 - lag keine rechtskonforme medizinische Sachverhaltsabklärung zugrunde. Daran ändert nichts, dass mit der Mitteilung von 1998 der Invaliditätsgrad geändert wurde und im Rahmen dieser Revision neben dem Arztbericht weitere Unterlagen eingeholt wurden. Die Berufung auf die in der Stellungnahme vom 21. August 2020 zur Begründung herangezogenen Urteile dringt nicht durch, weil die Fälle nicht gleich gelagert sind.</w:t>
      </w:r>
    </w:p>
    <w:p>
      <w:r>
        <w:rPr>
          <w:b/>
        </w:rPr>
        <w:t>E. 5.1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144 I 103 E. 2.1 S. 105; 141 V 9 E. 2.3 S. 10 f. mit Hinweisen).</w:t>
      </w:r>
    </w:p>
    <w:p>
      <w:r>
        <w:rPr>
          <w:b/>
        </w:rPr>
        <w:t>E. 5.2</w:t>
      </w:r>
    </w:p>
    <w:p>
      <w:r>
        <w:t>Seit der Rentenzusprache im Mai 1994 ist allein schon nur mit der Versorgung der Hüftgelenke beidseits mit einer Totalprothese im Juni 1994 und November 1995 unbestritten eine wesentliche Veränderung des Gesundheitszustandes eingetreten, die geeignet ist, den Invaliditätsgrad und damit den Anspruch auf eine Invalidenrente zu beeinflussen. Eine Überprüfung des Rentenanspruchs ist somit unter dem Titel der Revision gemäss Art. 17 Abs. 1 ATSG zulässig.</w:t>
      </w:r>
    </w:p>
    <w:p>
      <w:r>
        <w:rPr>
          <w:b/>
        </w:rPr>
        <w:t>E. 5.3</w:t>
      </w:r>
    </w:p>
    <w:p>
      <w:r>
        <w:t>Es ist nicht ersichtlich, inwiefern das SMAB-Gutachten vom       16. April 2018 den Anforderungen an eine beweiskräftige Expertise nicht entsprechen soll. Dass die Gutachter von den bisherigen ärztlichen Arbeitsfähigkeitsschätzungen abwichen, genügt hiefür nicht. Weiterungen erübrigen sich. Mit der Vorinstanz ist von einer 100%igen Arbeitsfähigkeit in angestammter und leidensangepasster Tätigkeit auszugehen (Expertise S. 17).</w:t>
      </w:r>
    </w:p>
    <w:p>
      <w:r>
        <w:rPr>
          <w:b/>
        </w:rPr>
        <w:t>E. 6.1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S. 211 f. mit Hinweisen).</w:t>
      </w:r>
    </w:p>
    <w:p>
      <w:r>
        <w:rPr>
          <w:b/>
        </w:rPr>
        <w:t>E. 6.2</w:t>
      </w:r>
    </w:p>
    <w:p>
      <w:r>
        <w:t>Im Zeitpunkt der Renteneinstellung mit Verfügung vom 22. Februar 2019 war die Beschwerdeführerin 56 Jahre alt und bezog seit über fünfzehn Jahren eine halbe Invalidenrente. Damit ist die dargelegte Rechtsprechung auf sie anwendbar.</w:t>
      </w:r>
    </w:p>
    <w:p>
      <w:r>
        <w:t>Es ist nicht ersichtlich, dass die Beschwerdeführerin je im Umfang ihrer Resterwerbsfähigkeit von 50 % tätig gewesen wäre. Die Resterwerbsfähigkeit wurde somit über mehr als ein Jahrzehnt hinweg aus invaliditätsfremden Gründen nicht verwertet. Die Vorinstanz hat daher kein Bundesrecht verletzt, indem sie den Anspruch auf berufliche Eingliederungsmassnahmen vor der Rentenaufhebung verneint hat.</w:t>
      </w:r>
    </w:p>
    <w:p>
      <w:r>
        <w:rPr>
          <w:b/>
        </w:rPr>
        <w:t>E. 7</w:t>
      </w:r>
    </w:p>
    <w:p>
      <w:r>
        <w:t>Nach dem Gesagten hat es im Ergebnis beim angefochtenen Entscheid sein Bewenden. Die Beschwerde ist unbegründet.</w:t>
      </w:r>
    </w:p>
    <w:p>
      <w:r>
        <w:rPr>
          <w:b/>
        </w:rPr>
        <w:t>E. 8</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