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162/2015 vom 12. August 2015</w:t>
      </w:r>
    </w:p>
    <w:p>
      <w:r>
        <w:t>Bundesgericht, 2015-08-12, DE</w:t>
      </w:r>
    </w:p>
    <w:p>
      <w:r>
        <w:rPr>
          <w:b/>
        </w:rPr>
        <w:t xml:space="preserve">Quelle: </w:t>
      </w:r>
      <w:r>
        <w:t>https://mcp.opencaselaw.ch/entscheid/bger_9C_162_2015</w:t>
      </w:r>
    </w:p>
    <w:p>
      <w:r>
        <w:t>FR: TF 9C 162/2015 du 12 août 2015</w:t>
      </w:r>
    </w:p>
    <w:p>
      <w:r>
        <w:t>IT: TF 9C 162/2015 del 12 agosto 2015</w:t>
      </w:r>
    </w:p>
    <w:p>
      <w:pPr>
        <w:pStyle w:val="Heading2"/>
      </w:pPr>
      <w:r>
        <w:t>Regeste</w:t>
      </w:r>
    </w:p>
    <w:p>
      <w:r>
        <w:t>Alters- und Hinterlassenenversicherung | Alters- und Hinterlassenenversicherung</w:t>
      </w:r>
    </w:p>
    <w:p>
      <w:pPr>
        <w:pStyle w:val="Heading2"/>
      </w:pPr>
      <w:r>
        <w:t>Erwägungen</w:t>
      </w:r>
    </w:p>
    <w:p>
      <w:r>
        <w:rPr>
          <w:b/>
        </w:rPr>
        <w:t>E. 1</w:t>
      </w:r>
    </w:p>
    <w:p>
      <w:r>
        <w:t>Die Beschwerdeführer rügen in formeller Hinsicht eine Verletzung von Art. 6 Ziff. 1 EMRK , weil sich das kantonale Gericht geweigert habe, die im Schriftenwechsel beantragte öffentliche Parteiverhandlung durchzuführen.</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122 V 47 E. 3, 3a und b S. 54 ff.). Ein während des ordentlichen Schriftenwechsels gestellter Antrag gilt dabei als rechtzeitig ( BGE 134 I 331 ).</w:t>
      </w:r>
    </w:p>
    <w:p>
      <w:r>
        <w:rPr>
          <w:b/>
        </w:rPr>
        <w:t>E. 2.2</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 BGE 136 I 279 E. 1 S. 281 mit Hinweis auf BGE 122 V 47 E. 3b/ee und 3b/ff S. 57 f.).</w:t>
      </w:r>
    </w:p>
    <w:p>
      <w:r>
        <w:rPr>
          <w:b/>
        </w:rPr>
        <w:t>E. 3.1</w:t>
      </w:r>
    </w:p>
    <w:p>
      <w:r>
        <w:t>Die Beschwerdeführer liessen im Rahmen des zweiten Schriftenwechsels vor dem kantonalen Gericht (Replik vom 10. März 2014) und damit rechtzeitig (vgl. E. 2.1 hievor) beantragen, es sei eine öffentliche, mündliche Gerichtsverhandlung vor dem Verwaltungsgericht des Kantons Nidwalden durchzuführen. Als Begründung führten sie unter Hinweis auf Art. 6 Ziff. 1 EMRK und Art. 29 Abs. 1 BV an, die gerichtliche Beurteilung der Art der Erwerbstätigkeit einer versicherten Person hänge zu grossen Teilen von den tatsächlich ausgeführten Geschäftstätigkeiten ab. Solche Lebensvorgänge würden sich jedoch schriftlich oft nicht abschliessend und realitätsnah schildern lassen. Im vorliegenden Fall würden zudem die Zeugenaussagen des Buchhalters D.________ und die Parteiaussagen der Beschwerdeführer erheblich zur Aufklärung der Sachlage beitragen. Zu dessen genauerer Erläuterung und zur wirksamen Ausübung des Anspruchs auf rechtliches Gehör sei es deshalb zweckmässig, eine öffentliche, mündliche Verhandlung durchzuführen.</w:t>
      </w:r>
    </w:p>
    <w:p>
      <w:r>
        <w:rPr>
          <w:b/>
        </w:rPr>
        <w:t>E. 3.2</w:t>
      </w:r>
    </w:p>
    <w:p>
      <w:r>
        <w:t>Die Vorinstanz begründete die Verweigerung einer öffentlichen Verhandlung damit, dass es den Beschwerdeführern mehr um eine eigentliche Befragung im Sinne einer Beweismassnahme und weniger darum gehe, vor einem unabhängigen Gericht ihren persönlichen Standpunkt zum Beweisergebnis im Allgemeinen und zur Auftragslage im Speziellen mündlich vortragen zu können. Nach Auffassung des Gerichts sei die Sachlage ausreichend dokumentiert und klar. Die Verfahrensbeteiligten hätten ihre Standpunkte in einem doppelten Schriftenwechsel sowohl in tatsächlicher wie in rechtlicher Hinsicht umfassend und hinreichend klar darlegen können. Weder die beantragte Parteibefragung noch die Zeugeneinvernahme seien zur Klärung des streitigen Punktes notwendig. Eine mündliche Verhandlung verspreche keine erheblichen Informationen für die Falllösung, weshalb die Durchführung einer solchen weder zweckmässig noch prozessökonomisch erscheine. Es rechtfertige sich daher, von einer öffentlichen Verhandlung abzusehen.</w:t>
      </w:r>
    </w:p>
    <w:p>
      <w:r>
        <w:rPr>
          <w:b/>
        </w:rPr>
        <w:t>E. 4.1</w:t>
      </w:r>
    </w:p>
    <w:p>
      <w:r>
        <w:t>Das kantonale Gericht hat ausser Acht gelassen, dass hier ein klarer und unmissverständlicher Parteiantrag auf eine öffentliche Verhandlung vorliegt. So hatten die Beschwerdeführer einen solchen in der Replik vom 10. März 2014 nicht nur explizit gestellt, sondern mit Hinweis auf die aus ihrer Sicht nicht einfache Sachlage klarerweise zum Ausdruck gebracht, dass ihnen - zumindest auch - an der mündlichen Darlegung ihrer Argumente vor einem unabhängigen Gericht gelegen ist. Soweit es den Beschwerdeführern um die Abnahme bestimmter Beweismittel geht, besteht jedoch kein Anspruch darauf, dass entsprechende Beweismassnahmen, wenn erforderlich, öffentlich durchgeführt werden (8C_648/2012 vom 29. November 2012 E. 3.2).</w:t>
      </w:r>
    </w:p>
    <w:p>
      <w:r>
        <w:rPr>
          <w:b/>
        </w:rPr>
        <w:t>E. 4.2</w:t>
      </w:r>
    </w:p>
    <w:p>
      <w:r>
        <w:t>Von der klar und unmissverständlich beantragten öffentlichen Verhandlung hätte das kantonale Gericht nur bei Vorliegen von in Erwägung 2.2 genannten Gründen absehen dürfen. Dass aber der Antrag auf eine öffentliche Verhandlung hier schikanös wäre oder dem Grundsatz der Einfachheit und Raschheit des Verfahrens zuwiderlaufen würde, hat die Vorinstanz zu Recht nicht erwogen. Sodann schloss sie weder auf eine offensichtliche Unbegründetheit oder Unzulässigkeit der Beschwerde noch auf eine hohe Technizität der Materie, welche eine Ablehnung der beantragten Verhandlung ausnahmsweise zu rechtfertigen vermöchte. Offensichtlich hat sie dem materiellen Rechtsbegehren der Beschwerdeführer auch nicht entsprochen.</w:t>
      </w:r>
    </w:p>
    <w:p>
      <w:r>
        <w:rPr>
          <w:b/>
        </w:rPr>
        <w:t>E. 4.3</w:t>
      </w:r>
    </w:p>
    <w:p>
      <w:r>
        <w:t>Indem die Vorinstanz auf die Durchführung der öffentlichen Verhandlung verzichtet hat, trug sie der in Art. 6 Ziff. 1 EMRK gewährleisteten Verfahrensgarantie nicht Rechnung. Die Sache ist daher an das kantonale Versicherungsgericht zurückzuweisen, damit es den Verfahrensmangel behebt und die verlangte öffentliche Verhandlung durchführt. Anschliessend wird es über die Beschwerde materiell neu zu befinden haben.</w:t>
      </w:r>
    </w:p>
    <w:p>
      <w:r>
        <w:rPr>
          <w:b/>
        </w:rPr>
        <w:t>E. 5</w:t>
      </w:r>
    </w:p>
    <w:p>
      <w:r>
        <w:t>Dem Ausgang des Verfahrens entsprechend sind die Gerichtskosten der Beschwerdegegnerin aufzuerlegen ( Art. 66 Abs. 1 BGG ). Diese hat den Beschwerdeführern zudem eine Parteientschädigung für das bundesgerichtliche Verfahren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