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9C_161/2014 vom 14. Juli 2014</w:t>
      </w:r>
    </w:p>
    <w:p>
      <w:r>
        <w:t>Bundesgericht, 2014-07-14, FR</w:t>
      </w:r>
    </w:p>
    <w:p>
      <w:r>
        <w:rPr>
          <w:b/>
        </w:rPr>
        <w:t xml:space="preserve">Quelle: </w:t>
      </w:r>
      <w:r>
        <w:t>https://mcp.opencaselaw.ch/entscheid/bger_9C_161_2014</w:t>
      </w:r>
    </w:p>
    <w:p>
      <w:r>
        <w:t>FR: TF 9C_161/2014 du 14 juillet 2014</w:t>
      </w:r>
    </w:p>
    <w:p>
      <w:r>
        <w:t>IT: TF 9C_161/2014 del 14 luglio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revoit librement les dispositions de droit public cantonal ou communal en matière de prévoyance professionnelle ( ATF 134 V 199 ; voir également Markus Schott, Basler Kommentar, Bundesgerichtsgesetz, 2ème éd. 2011, n° 46 ad art. 95 LTF ), statue sur la base des faits retenus par l'autorité précédente ( art. 105 al. 1 LTF ) qu'il peut rectifier ou compléter d'office si des lacunes ou des erreurs manifestes apparaissent d'emblée ( art. 105 al. 2 LTF ), examine en principe seulement les griefs allégués et motivés ( art. 42 al. 2 LTF ), spécialement s'il portent sur la violation des droits fondamentaux ( art. 106 al. 2 LTF ), et ne peut trancher</w:t>
      </w:r>
    </w:p>
    <w:p>
      <w:r>
        <w:t>ultra petita ( art. 107 al. 1 LTF ). Le recourant n'est habilité à critiquer la constatation des faits qui influent sur le sort du litige que si ceux-ci ont été établis en violation du droit ou de façon manifestement inexacte ( art. 97 al. 1 LTF ).</w:t>
      </w:r>
    </w:p>
    <w:p>
      <w:r>
        <w:rPr>
          <w:b/>
        </w:rPr>
        <w:t>E. 2</w:t>
      </w:r>
    </w:p>
    <w:p>
      <w:r>
        <w:t>Le litige porte sur le droit du recourant qui a formé une communauté de vie avec le défunt à une rente pour survivants à charge de la fondation intimée. Compte tenu des critiques émises contre la décision de première instance (Florence Aubry Girardin, in Commentaire de la LTF, 2ème éd. 2014, n° 24 ad art. 42 LTF et les références citées), il convient d'examiner si la condition réglementaire de l'annonce écrite de la communauté de vie devant être faite à l'institution de prévoyance du vivant de l'assuré est conforme à la loi. Le jugement entrepris expose les dispositions légales et réglementaires ainsi que les principes jurisprudentiels nécessaires à la résolution du litige. Il suffit donc d'y renvoyer.</w:t>
      </w:r>
    </w:p>
    <w:p>
      <w:r>
        <w:rPr>
          <w:b/>
        </w:rPr>
        <w:t>E. 3.1</w:t>
      </w:r>
    </w:p>
    <w:p>
      <w:r>
        <w:t>La juridiction cantonale a constaté que, vu le règlement en vigueur au moment du décès, l'institution de prévoyance intimée n'était pas tenue de servir au recourant une rente pour survivants dès lors que, si la communauté de vie ininterrompue d'au moins cinq ans immédiatement avant le décès n'était en soi pas contestée, l'annonce de celle-ci - par écrit et du vivant de l'assuré - était une condition formelle en tout point conforme à la jurisprudence développée en la matière et qu'en l'occurrence, elle faisait défaut.</w:t>
      </w:r>
    </w:p>
    <w:p>
      <w:r>
        <w:rPr>
          <w:b/>
        </w:rPr>
        <w:t>E. 3.2</w:t>
      </w:r>
    </w:p>
    <w:p>
      <w:r>
        <w:t>Le recourant explique substantiellement que l'assuré ne souhaitait pas dévoiler son homosexualité à son employeur et à ses collègues en raison du préjudice qu'une telle déclaration aurait pu entraîner pour sa carrière. Il estime que le fait d'exiger une annonce écrite est disproportionné par rapport au but du législateur, qui entendait protéger le survivant non marié. Il soutient en outre qu'une telle exigence est choquante dans la mesure où la communauté de vie avait duré plus de dix ans, où il avait été entretenu pendant cette période et où il se retrouvait désormais sans soutien financier. Il allègue encore que, malgré les informations reçues de la fondation intimée, l'assuré ignorait les particularités auxquelles étaient soumis ses avoirs de prévoyance.</w:t>
      </w:r>
    </w:p>
    <w:p>
      <w:r>
        <w:rPr>
          <w:b/>
        </w:rPr>
        <w:t>E. 3.3</w:t>
      </w:r>
    </w:p>
    <w:p>
      <w:r>
        <w:t>L'argumentation du recourant n'est pas fondée. Comme le tribunal cantonal l'a correctement indiqué, les institutions de prévoyance ont la possibilité, mais pas l'obligation, de prévoir dans leurs règlements que, outre les conjoints survivants ( art. 19 LPP ), les partenaires enregistrés ( art. 19a LPP ) et les orphelins ( art. 20 LPP ), les personnes qui ont formé avec l'assuré défunt une communauté de vie ininterrompue de cinq ans au moins immédiatement avant le décès ont droit à une rente pour survivants ( art. 20a al. 1 let. a LPP ). La fondation intimée a repris cette possibilité dans ses différents règlements successifs dès l'année 2006 en y adjoignant l'exigence d'une annonce de la communauté de vie du vivant de l'assuré et sous forme écrite (cf. notamment art. 32 du règlement en vigueur en 2012). Le tribunal fédéral a eu l'occasion d'expliquer pourquoi et de confirmer que, pour les concubins, une telle exigence était conforme à la loi (cf. ATF 136 V 127 consid. 4.5 p. 130 s.) et ne contrevenait pas au principe de l'égalité de traitement (cf. ATF 137 V 105 consid. 9 p. 111 ss). Il a aussi confirmé que malgré la formulation de l' art. 20a LPP , les institutions de prévoyance pouvaient soumettre l'octroi des prestations pour survivants au partenaire de l'assuré décédé aux conditions cumulatives d'avoir été dans une large mesure à charge du défunt et d'avoir formé avec celui-ci une communauté de vie ininterrompue de cinq ans au minimum immédiatement avant le décès (cf. ATF 138 V 98 consid. 4 p. 101 s.). Il résulte par conséquent de ce qui précède que l'absence d'annonce écrite à l'institution de prévoyance intimée du vivant de l'assuré, fait obstacle à l'octroi d'une rente pour survivants, même si ladite communauté remplissait par ailleurs la condition de la durée.</w:t>
      </w:r>
    </w:p>
    <w:p>
      <w:r>
        <w:t>Les griefs développés par le recourant n'y peuvent rien changer. L'exigence formelle évoquée ne peut effectivement être considérée comme disproportionnée (à propos du principe de la proportionnalité, cf. p. ex. ATF 138 I 331 consid. 7.4.3.1 p. 346 s.) dès lors que, jugée conforme au principe d'égalité de traitement (cf. ATF 137 V 105 consid. 9 p. 111 ss), elle constitue un moyen qui se trouve dans un rapport raisonnable entre la restriction du droit du concubin à une rente pour survivants et le droit ou l'intérêt d'une institution de prévoyance à connaître les risques qu'elle assure et, partant, à connaître les assurés formant une communauté de vie pour lesquelles elle pourrait être appelée à verser une rente de survivants (cf. ATF 137 V 105 consid. 9.4 p. 113). L'obligation des personnes qui participent à l'application de la LPP - en particulier de la fondation intimée qui ne peut en l'espèce être assimilée à l'employeur - de garder le secret ( art. 86 LPP ) réduit de surcroît les risques de subir un préjudice en raison de la divulgation par l'assuré de son homosexualité. La perte de soutien financier consécutive au décès de l'assuré n'a en outre rien de choquant dans la mesure où c'est justement le critère de l'obligation légale d'entretien existant entre les époux et les partenaires enregistrés mais pas entre les concubins qui a permis de justifier un traitement différencié entre ces deux catégories de couples quant à l'exigence d'une annonce écrite (cf. ATF 137 V 105 consid. 9.3 p. 112 s.). On notera enfin que l'évocation par le recourant de l'ignorance de l'assuré concernant les particularités auxquelles étaient soumis ses avoirs de prévoyance n'est pas pertinente dès lors que celui-ci a démontré qu'il était parfaitement capable de comprendre la portée des informations et règlements qui lui étaient communiqués en désignant en 2005 ses père et frères comme bénéficiaires de son capital-décès.</w:t>
      </w:r>
    </w:p>
    <w:p>
      <w:r>
        <w:rPr>
          <w:b/>
        </w:rPr>
        <w:t>E. 4</w:t>
      </w:r>
    </w:p>
    <w:p>
      <w:r>
        <w:t>Vu l'issue du litige, les frais judiciaires doivent être supportés par le recourant ( art. 66 al. 1 LTF ) qui ne saurait prétendre des dépens ( art. 68 al. 1 LTF ). En qualité d'organisation chargée de tâches de droit public, l'institution de prévoyance intimée ne peut pas non plus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