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161/2007 vom 6. September 2007</w:t>
      </w:r>
    </w:p>
    <w:p>
      <w:r>
        <w:t>Bundesgericht, 2007-09-06, DE</w:t>
      </w:r>
    </w:p>
    <w:p>
      <w:r>
        <w:rPr>
          <w:b/>
        </w:rPr>
        <w:t xml:space="preserve">Quelle: </w:t>
      </w:r>
      <w:r>
        <w:t>https://mcp.opencaselaw.ch/entscheid/bger_9C_161_2007</w:t>
      </w:r>
    </w:p>
    <w:p>
      <w:r>
        <w:t>FR: TF 9C 161/2007 du 6 septembre 2007</w:t>
      </w:r>
    </w:p>
    <w:p>
      <w:r>
        <w:t>IT: TF 9C 161/2007 del 6 settembre 2007</w:t>
      </w:r>
    </w:p>
    <w:p>
      <w:pPr>
        <w:pStyle w:val="Heading2"/>
      </w:pPr>
      <w:r>
        <w:t>Regeste</w:t>
      </w:r>
    </w:p>
    <w:p>
      <w:r>
        <w:t>Berufliche Vorsorge | Berufliche Vorsorge</w:t>
      </w:r>
    </w:p>
    <w:p>
      <w:pPr>
        <w:pStyle w:val="Heading2"/>
      </w:pPr>
      <w:r>
        <w:t>Erwägungen</w:t>
      </w:r>
    </w:p>
    <w:p>
      <w:r>
        <w:rPr>
          <w:b/>
        </w:rPr>
        <w:t>E. 1</w:t>
      </w:r>
    </w:p>
    <w:p>
      <w:r>
        <w:t>Die Vorinstanz hat die Bestimmungen über den Anspruch auf Invalidenleistungen aus der beruflichen Vorsorge ( Art. 23 und 24 Abs. 1 BVG in der vorliegend anwendbaren, bis 31. Dezember 2004 gültig gewesenen Fassung) sowie die statutarischen Bestimmungen der BVK über Berufs- und Erwerbsinvalidität (§§ 19 und 21) zutreffend dargelegt, weshalb darauf verwiesen werden kann.</w:t>
      </w:r>
    </w:p>
    <w:p>
      <w:r>
        <w:rPr>
          <w:b/>
        </w:rPr>
        <w:t>E. 2</w:t>
      </w:r>
    </w:p>
    <w:p>
      <w:r>
        <w:t>Das kantonale Gericht hat richtig festgestellt, dass die Beschwerdeführerin, die seit 1. April 2001 in ihrem Beruf als Krankenschwester voll arbeitsunfähig ist, am 1. Januar 2006 über eine Resterwerbsfähigkeit von rund 50 % verfügte. In versicherungsrechtlicher Hinsicht fehlt es an der Versicherteneigenschaft für die mit einer halben Rente der Invalidenversicherung abgegoltene Erwerbsunfähigkeit, wie die Vorinstanz unter Hinweis auf die Rechtssprechung (Urteil B 47/97 des Eidgenössischen Versicherungsgerichts vom 15. März 1999, publiziert in SZS 2001 S. 85) richtig festgehalten hat. Als Teilzeitangestellte mit einem Beschäftigungsgrad von 40 % als Krankenschwester im Alters- und Pflegeheim X.________, ab 1. Oktober 1998 war die Beschwerdeführerin bei der BVK nur für dieses Pensum versichert. Für den Anteil von 60 % der Arbeitszeit, welcher nicht auf die Erwerbstätigkeit im Alters- und Pflegeheim, sondern auf die Arbeit im Haushalt, entfiel, war die Beschwerdeführerin jedoch nicht für die berufliche Vorsorge versichert. Nachdem sie weiterhin zu 50 % erwerbsfähig ist, kann sie keine Invalidenrente beanspruchen, da sie für den bei der BVK versicherten Anteil von 40 % eines vollen Arbeitspensums nach wie vor erwerbsfähig ist. Das Invaliditätsrisiko hat sich somit nur für einen durch die BVK nicht versicherten Anteil von 50 % verwirklicht.</w:t>
      </w:r>
    </w:p>
    <w:p>
      <w:r>
        <w:rPr>
          <w:b/>
        </w:rPr>
        <w:t>E. 3</w:t>
      </w:r>
    </w:p>
    <w:p>
      <w:r>
        <w:t>Die Ausführungen in der Beschwerde vermögen zu keinem anderem Ergebnis zu führen. Die Feststellungen der Vorinstanz zum Grad der Arbeitsunfähigkeit im bisherigen Beruf und in anderen Tätigkeiten sind für das Bundesgericht verbindlich ( Art. 97 BGG ), sodass auf die entsprechenden Vorbringen der Beschwerdeführerin nicht einzugehen ist, während die Beeinträchtigungen bei der Haushaltsführung von der beruflichen Vorsorge nicht erfasst werden und damit auch nicht Gegenstand des vorliegenden Verfahrens bilden.</w:t>
      </w:r>
    </w:p>
    <w:p>
      <w:r>
        <w:rPr>
          <w:b/>
        </w:rPr>
        <w:t>E. 4</w:t>
      </w:r>
    </w:p>
    <w:p>
      <w:r>
        <w:t>Dem Prozessausgang entsprechend sind die Gerichtskosten der unterliegenden Beschwerdeführerin aufzuerlegen ( Art. 66 Abs. 1 BGG ).</w:t>
      </w:r>
    </w:p>
    <w:p>
      <w:r>
        <w:rPr>
          <w:b/>
        </w:rPr>
        <w:t>E. 5</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