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9C_15/2009 vom 28. Mai 2009</w:t>
      </w:r>
    </w:p>
    <w:p>
      <w:r>
        <w:t>Bundesgericht, 2009-05-28, DE</w:t>
      </w:r>
    </w:p>
    <w:p>
      <w:r>
        <w:rPr>
          <w:b/>
        </w:rPr>
        <w:t xml:space="preserve">Quelle: </w:t>
      </w:r>
      <w:r>
        <w:t>https://mcp.opencaselaw.ch/entscheid/bger_9C_15_2009</w:t>
      </w:r>
    </w:p>
    <w:p>
      <w:r>
        <w:t>FR: TF 9C_15/2009 du 28 mai 2009</w:t>
      </w:r>
    </w:p>
    <w:p>
      <w:r>
        <w:t>IT: TF 9C_15/2009 del 28 maggio 2009</w:t>
      </w:r>
    </w:p>
    <w:p>
      <w:pPr>
        <w:pStyle w:val="Heading2"/>
      </w:pPr>
      <w:r>
        <w:t>Erwägungen</w:t>
      </w:r>
    </w:p>
    <w:p>
      <w:r>
        <w:rPr>
          <w:b/>
        </w:rPr>
        <w:t>E. 1.1</w:t>
      </w:r>
    </w:p>
    <w:p>
      <w:r>
        <w:t>Invalidenleistungen der obligatorischen beruflichen Vorsorge werden von derjenigen Vorsorgeeinrichtung geschuldet, welcher der Ansprecher bei Eintritt der Arbeitsunfähigkeit, deren Ursache zur Invalidität geführt hat, angeschlossen war ( Art. 23 BVG ; seit 1. Januar 2005: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BGE 134 V 20 E. 3.2.2 S. 23; SVR 2008 BVG Nr. 34 S. 143 E. 2.3 mit Hinweisen, 9C_127/2008) und der allenfalls erst später eingetretenen Invalidität voraus ( BGE 130 V 270 E. 4.1 S. 275).</w:t>
      </w:r>
    </w:p>
    <w:p>
      <w:r>
        <w:rPr>
          <w:b/>
        </w:rPr>
        <w:t>E. 1.1.1</w:t>
      </w:r>
    </w:p>
    <w:p>
      <w:r>
        <w:t>Der sachliche Konnex ist gegeben, wenn der Gesundheitsschaden, der zur Arbeitsunfähigkeit geführt hat, im Wesentlichen der gleiche ist wie derjenige, auf welchem die Erwerbsunfähigkeit beruht ( BGE 134 V 20 E. 3.2 S. 22).</w:t>
      </w:r>
    </w:p>
    <w:p>
      <w:r>
        <w:rPr>
          <w:b/>
        </w:rPr>
        <w:t>E. 1.1.2</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mit Hinweisen).</w:t>
      </w:r>
    </w:p>
    <w:p>
      <w:r>
        <w:rPr>
          <w:b/>
        </w:rPr>
        <w:t>E. 1.2</w:t>
      </w:r>
    </w:p>
    <w:p>
      <w:r>
        <w:t>Entscheiderhebliche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9C_182/2007 vom 7. Dezember 2007 E. 4.1.1). Frei überprüfbare Rechtsfrage ist dagegen, nach welchen Gesichtspunkten die Entscheidung über den Zeitpunkt des Eintritts einer rechtserheblichen Arbeitsunfähigkeit erfolgt (SVR 2009 BVG Nr. 7 S. 22 E. 2.2, 9C_65/2008).</w:t>
      </w:r>
    </w:p>
    <w:p>
      <w:r>
        <w:rPr>
          <w:b/>
        </w:rPr>
        <w:t>E. 2.1</w:t>
      </w:r>
    </w:p>
    <w:p>
      <w:r>
        <w:t>Nicht bestritten ist die Arbeitsunfähigkeit von mehr als 20 % während des Versicherungsverhältnisses mit der Beschwerdegegnerin (25. November 1996 bis 31. August 1997); unstrittig ist ebenso der sachliche Zusammenhang mit der späteren Invalidität, dass also der Gesundheitsschaden, der zur Arbeitsunfähigkeit geführt hat, im Wesentlichen der gleiche ist wie derjenige, auf welchem die Erwerbsunfähigkeit beruht.</w:t>
      </w:r>
    </w:p>
    <w:p>
      <w:r>
        <w:rPr>
          <w:b/>
        </w:rPr>
        <w:t>E. 2.2</w:t>
      </w:r>
    </w:p>
    <w:p>
      <w:r>
        <w:t>Streitig und zu prüfen ist jedoch der zeitliche Zusammenhang. Soweit die Vorinstanz hierzu Feststellungen zu entscheiderheblichen Tatfragen (oben E. 1.2) getroffen hat, darf das Bundesgericht nach dem Gesagten nur davon abweichen, wenn jene offensichtlich unrichtig sind oder auf einer Verletzung bundesrechtlicher Grundsätze beruhen.</w:t>
      </w:r>
    </w:p>
    <w:p>
      <w:r>
        <w:rPr>
          <w:b/>
        </w:rPr>
        <w:t>E. 3.1</w:t>
      </w:r>
    </w:p>
    <w:p>
      <w:r>
        <w:t>Gemäss Feststellung der Vorinstanz liegt für die Zeit von September 1997 bis März 2002 keine echtzeitliche Bestätigung einer Arbeitsunfähigkeit vor. Insbesondere war die Beschwerdeführerin von Juli 1999 bis Oktober 2000 bei der Firma C.________ AG ohne nennenswerte Absenz tätig. Diese Tatsachenfeststellungen sind nicht offensichtlich unrichtig. Es ist also davon auszugehen, dass die Beschwerdeführerin in der Ausübung ihrer Tätigkeit bei der Firma M.________ AG, der Firma C.________ AG und der Firma E.________ AG nicht aus gesundheitlichen Gründen eingeschränkt war. Diese Tätigkeiten können bei dieser Sachlage auch nicht als Eingliederungsversuch betrachtet werden.</w:t>
      </w:r>
    </w:p>
    <w:p>
      <w:r>
        <w:rPr>
          <w:b/>
        </w:rPr>
        <w:t>E. 3.2</w:t>
      </w:r>
    </w:p>
    <w:p>
      <w:r>
        <w:t>Die Beschwerdeführerin hält dagegen, der reglementarische Invaliditätsbegriff weiche vom Invalidenversicherungsgesetz ab, denn es genüge eine Erwerbsunfähigkeit in einer angemessenenen Tätigkeit oder ein 25-prozentiger Invaliditätsgrad nach IVG. Sie sei schon bei der Arbeit für die Firma F.________ AG gesundheitlich angeschlagen und in den späteren Beschäftigungen (Firma M.________ AG, Firma C.________ AG, Firma E.________ AG, Firma H.________ AG) im Sinne des Reglementes erwerbsunfähig gewesen. Die Beschwerdeführerin macht an sich zu Recht geltend, dass die Vorinstanz nicht ausdrücklich auf den reglementarischen Invaliditätsbegriff Bezug genommen hat.</w:t>
      </w:r>
    </w:p>
    <w:p>
      <w:r>
        <w:rPr>
          <w:b/>
        </w:rPr>
        <w:t>E. 3.3</w:t>
      </w:r>
    </w:p>
    <w:p>
      <w:r>
        <w:t>Nach BGE 134 V 20 E. 5.3 S. 27 muss die angepasste Tätigkeit, in welcher Arbeitsfähigkeit besteht, ein rentenausschliessendes Einkommen erlauben, damit von einer Unterbrechung des zeitlichen Zusammenhanges gesprochen werden kann. Wenn man auf die reglementarische Regelung abstellt (Rente schon ab einem Invaliditätsgrad im Sinne der Invalidenversicherung von mindestens 25 %) und die aktenkundigen Einkommenszahlen vergleicht, hat in der Tat die Beschwerdeführerin bei der Firma C.________ AG ein Einkommen erzielt, das - verglichen mit dem Einkommen bei der Firma F.________ AG - mehr als 25 % tiefer lag. Allerdings kann eine Erwerbseinbusse nicht einfach mit einer entsprechenden Erwerbsunfähigkeit gleichgesetzt werden. Auch in diesem Fall ist vielmehr für die Annahme einer Erwerbsunfähigkeit verlangt, dass die Einschränkung durch ärztlichen Befund objektiv nachweisbar durch Krankheit verursacht ist ( Art. 1 und 28a IVG sowie Art. 7, 8 und 16 ATSG i.V.m. Art. 23 lit. a BVG bzw. Art. 2 Ziff. 11 des Reglements der Beschwerdegegnerin). Daran fehlt es nach den Feststellungen der Vorinstanz. Zwar hat die Beschwerdeführerin Psychiater besucht (vgl. Übersicht über Arzt-, Psychiater- und Psychologen-Besuche vom 6. September 2006), die sie aber offensichtlich gerade nicht krankgeschrieben haben. Der blosse Umstand, dass sie in den späteren Anstellungen weniger verdient hat als in der Firma F.________ AG, wo sie als Prokuristin tätig war, bestätigt daher auch im Sinne des Reglementes noch keine Erwerbsunfähigkeit.</w:t>
      </w:r>
    </w:p>
    <w:p>
      <w:r>
        <w:rPr>
          <w:b/>
        </w:rPr>
        <w:t>E. 4</w:t>
      </w:r>
    </w:p>
    <w:p>
      <w:r>
        <w:t>Dem Ausgang des Verfahrens entsprechend hat die Beschwerdeführerin die Gerichtskosten zu tragen ( Art. 66 Abs. 1 BGG ). Obsiegende Behörden und mit öffentlichrechtlichen Aufgaben betraute Organisationen haben grundsätzlich keinen Anspruch auf Parteientschädigung ( Art. 68 Abs. 3 BGG ). Zu den mit öffentlichrechtlichen Aufgaben betrauten Organisationen gehören auch die Pensionskassen ( BGE 126 V 143 E. 4a S. 150, 123 V 290 E. 10 S. 309). Ausnahmsweise kann eine Prozessentschädigung gewährt werden, wenn wegen der Besonderheit oder Schwierigkeit der Sache der Beizug eines frei praktizierenden Anwalts notwendig ist ( BGE 119 V 448 E. 6b S. 456; RKUV 1995 Nr. K 955 S. 6 [K 40/93]); dies ist hier jedoch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