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9C_158/2020 vom 10. März 2020</w:t>
      </w:r>
    </w:p>
    <w:p>
      <w:r>
        <w:t>Bundesgericht, 2020-03-10, DE</w:t>
      </w:r>
    </w:p>
    <w:p>
      <w:r>
        <w:rPr>
          <w:b/>
        </w:rPr>
        <w:t xml:space="preserve">Quelle: </w:t>
      </w:r>
      <w:r>
        <w:t>https://mcp.opencaselaw.ch/entscheid/bger_9C_158_2020</w:t>
      </w:r>
    </w:p>
    <w:p>
      <w:r>
        <w:t>FR: TF 9C_158/2020 du 10 mars 2020</w:t>
      </w:r>
    </w:p>
    <w:p>
      <w:r>
        <w:t>IT: TF 9C_158/2020 del 10 marzo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9C_158/2020</w:t>
      </w:r>
    </w:p>
    <w:p>
      <w:r>
        <w:t>Urteil vom 10. März 2020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Basel-Landschaft,</w:t>
      </w:r>
    </w:p>
    <w:p>
      <w:r>
        <w:t>Hauptstrasse 109, 4102 Binningen,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Kantonsgerichts Basel-Landschaft vom 28. November 2019</w:t>
      </w:r>
    </w:p>
    <w:p>
      <w:r>
        <w:t>(745 19 285 / 299).</w:t>
      </w:r>
    </w:p>
    <w:p>
      <w:r>
        <w:t>Nach Einsicht</w:t>
      </w:r>
    </w:p>
    <w:p>
      <w:r>
        <w:t>in die Beschwerde vom 25. Februar 2020 (Poststempel) gegen den Entscheid des Kantonsgerichts Basel-Landschaft vom 28. November 2019 und das gleichzeitig gestellte Gesuch um unentgeltliche Rechtspflege,</w:t>
      </w:r>
    </w:p>
    <w:p>
      <w:r>
        <w:t>in Erwägung,</w:t>
      </w:r>
    </w:p>
    <w:p>
      <w:r>
        <w:t>dass der angefochtene Entscheid gemäss postamtlicher Bescheinigung dem Beschwerdeführer am 23. Januar 2020ausgehändigt wurde,</w:t>
      </w:r>
    </w:p>
    <w:p>
      <w:r>
        <w:t>dass die 30-tägige Beschwerdefrist ( Art. 100 Abs. 1 BGG ) gemäss Art. 44-48 BGG am 24. Februar 2020 abgelaufen ist,</w:t>
      </w:r>
    </w:p>
    <w:p>
      <w:r>
        <w:t>dass die Beschwerde somit nicht innert der Rechtsmittelfrist eingereicht worden ist,</w:t>
      </w:r>
    </w:p>
    <w:p>
      <w:r>
        <w:t>dass die Eingabe zudem offensichtlich weder einen rechtsgenüglichen Antrag noch eine den Anforderungen von Art. 42 Abs. 1 und 2 BGG genügende Begründung enthält, da auch nicht ansatzweise dargelegt wird, inwiefern die vorinstanzlichen Sachverhaltsfeststellungen im Sinne von Art. 97 Abs. 1 BGG auf einer Rechtsverletzung beruhen oder qualifiziert unzutreffend (unhaltbar, willkürlich: BGE 140 V 22 E. 7.3.1 S. 39; 135 II 145 E. 8.1 S. 153; vgl. auch BGE 144 V 50 E. 4.2 S. 53 mit Hinweisen) oder die darauf beruhenden Erwägungen rechtsfehlerhaft (vgl. Art. 95 BGG ) sein sollen,</w:t>
      </w:r>
    </w:p>
    <w:p>
      <w:r>
        <w:t>dass deshalb im vereinfachten Verfahren nach Art. 108 Abs. 1 lit. a und b BGG auf die Beschwerde nicht einzutreten ist,</w:t>
      </w:r>
    </w:p>
    <w:p>
      <w:r>
        <w:t>dass mangels einer gültigen Beschwerde die unentgeltliche Rechtspflege ausscheidet ( Art. 64 BGG ), indessen umständehalber auf die Erhebung von Gerichtskosten verzichtet werden kann ( Art. 66 Abs. 1 Satz 2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Kantonsgericht Basel-Landschaft und dem Bundesamt für Sozialversicherungen schriftlich mitgeteilt.</w:t>
      </w:r>
    </w:p>
    <w:p>
      <w:r>
        <w:t>Luzern, 10. März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