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9C_157/2014 vom 24. Juni 2014</w:t>
      </w:r>
    </w:p>
    <w:p>
      <w:r>
        <w:t>Bundesgericht, 2014-06-24, DE</w:t>
      </w:r>
    </w:p>
    <w:p>
      <w:r>
        <w:rPr>
          <w:b/>
        </w:rPr>
        <w:t xml:space="preserve">Quelle: </w:t>
      </w:r>
      <w:r>
        <w:t>https://mcp.opencaselaw.ch/entscheid/bger_9C_157_2014</w:t>
      </w:r>
    </w:p>
    <w:p>
      <w:r>
        <w:t>FR: TF 9C_157/2014 du 24 juin 2014</w:t>
      </w:r>
    </w:p>
    <w:p>
      <w:r>
        <w:t>IT: TF 9C_157/2014 del 24 giugno 2014</w:t>
      </w:r>
    </w:p>
    <w:p>
      <w:pPr>
        <w:pStyle w:val="Heading2"/>
      </w:pPr>
      <w:r>
        <w:t>Erwägungen</w:t>
      </w:r>
    </w:p>
    <w:p>
      <w:r>
        <w:rPr>
          <w:b/>
        </w:rPr>
        <w:t>E. 1</w:t>
      </w:r>
    </w:p>
    <w:p>
      <w:r>
        <w:t>Auf den in der Beschwerdeantwort gestellten Antrag der Beschwerdegegnerin, der angefochtene Entscheid sei aufzuheben und der Einspracheentscheid und die Verfügung zu bestätigen, ist nicht einzutreten, weil das Bundesgerichtsgesetz die Anschlussbeschwerde nicht vorsieht ( Art. 90 ff. BGG ; BGE 134 III 332 E. 2.5 S. 335; MEYER/DORMANN, in: Basler Kommentar zum BGG, Basel 2011, N. 4 zu Art. 102 BGG ). Das Bundesgericht darf nicht über die Begehren der Parteien hinausgehen ( Art. 107 Abs. 1 BGG ), wobei Ausgangspunkt der Bindungswirkung das Rechtsbegehren der beschwerdeführenden Partei, nicht jenes der Beschwerdegegnerin ist ( MEYER/DORMANN, a.a.O., N. 2 zu Art. 107 BGG ). Deren Vorbringen sind im Rahmen der Prüfung der Anträge der Beschwerdeführerin zu berücksichtigen.</w:t>
      </w:r>
    </w:p>
    <w:p>
      <w:r>
        <w:rPr>
          <w:b/>
        </w:rPr>
        <w:t>E. 2</w:t>
      </w:r>
    </w:p>
    <w:p>
      <w:r>
        <w:t>Die jährliche Ergänzungsleistung entspricht dem Betrag, um den die anerkannten Ausgaben die anrechenbaren Einnahmen übersteigen ( Art. 9 Abs. 1 ELG ). Was zu den anerkannten Ausgaben gezählt wird, ist in Art. 10 ELG geregelt, was zu den anrechenbaren Einnahmen in Art. 11 ELG . Da Ergänzungsleistungen die Deckung der laufenden Lebensbedürfnisse bezwecken, dürfen nur tatsächlich vereinnahmte Einkünfte und vorhandene Vermögenswerte berücksichtigt werden, über die der Leistungsansprechende ungeschmälert verfügen kann. Vorbehalten bleibt der Tatbestand des Vermögensverzichts: Als Einnahmen werden angerechnet Einkünfte und Vermögenswerte, auf die verzichtet worden ist ( Art. 11 Abs. 1 lit. g ELG ; BGE 127 V 248 E. 4a S. 249).</w:t>
      </w:r>
    </w:p>
    <w:p>
      <w:r>
        <w:rPr>
          <w:b/>
        </w:rPr>
        <w:t>E. 3</w:t>
      </w:r>
    </w:p>
    <w:p>
      <w:r>
        <w:t>Die Beschwerdeführerin verkaufte ihrem Sohn am 19. Dezember 1994 die Stockwerkeigentumswohnung Nr. 14 (3 1/2-Zimmer-Wohnung) und Miteigentumsanteile mit Sonderrecht an zwei Autoabstellplätzen in B.________. Am 11. August 2004 verkaufte sie ihm zudem die Stockwerkeigentumswohnung Nr. 10 (1-Zimmer-Wohnung) mit Benützungsrecht an einem Autoabstellplatz und einen Miteigentumsanteil mit Sonderrecht an einer Doppelgarage. Im Gegenzug räumte der Sohn seiner Mutter ein lebenslängliches Nutzungsrecht/Nutzniessungsrecht an diesen Grundstücken ein. Die Nutzniessungsrechte hatten einen Jahreswert von Fr. 15'076.-. Am 22. August 2008 wurden sie im Grundbuch gelöscht. Der Sohn richtete der Beschwerdeführerin dafür eine Entschädigung von insgesamt Fr. 155'640.- aus.</w:t>
      </w:r>
    </w:p>
    <w:p>
      <w:r>
        <w:rPr>
          <w:b/>
        </w:rPr>
        <w:t>E. 4.1</w:t>
      </w:r>
    </w:p>
    <w:p>
      <w:r>
        <w:t>Die Beschwerdegegnerin rechnete der Beschwerdeführerin wegen des Verzichts auf Nutzniessungserträge aus zwei Wohnungen einen Betrag von jährlich insgesamt Fr. 15'076.- an zusätzlichem Einkommen an.</w:t>
      </w:r>
    </w:p>
    <w:p>
      <w:r>
        <w:rPr>
          <w:b/>
        </w:rPr>
        <w:t>E. 4.2</w:t>
      </w:r>
    </w:p>
    <w:p>
      <w:r>
        <w:t>Die Vorinstanz erwog, in der vorliegenden Konstellation sei der Ertrag aus der konkret erhaltenen Summe von Fr. 155'640.- zu berücksichtigen, welcher der Beschwerdeführerin hypothetisch anzurechnen sei. Bei der Bestimmung dieses Ertrags als anrechenbares Einkommen sei von einem mittleren Zinsfuss auf Eidgenössischen Obligationen und Termingelder ("bon de caisse") für das Jahr, das der Gewährung der Ergänzungsleistung voranging, auszugehen. Abzustellen sei vorliegend auf das Jahr 2011, in dem der entsprechende durchschnittliche Zinssatz für Kassenobligationen bei 1.85 % gelegen sei. Dies ergebe einen für das Jahr 2012 massgeblichen Ertrag von Fr. 2'879.35. Dieser sei vom Mietwert von Fr. 15'076.- abzuziehen. Damit resultiere ein Betrag von Fr. 12'197.-. Nur dieser sei bei der Berechnung der Ergänzungsleistung für das Jahr 2012 als anrechenbare Einnahme zu berücksichtigen. Dies ergebe eine der Beschwerdeführerin zustehende monatliche Ergänzungsleistung für das Jahr 2012 von Fr. 932.-. In diesem Sinne sei die Beschwerde teilweise gutzuheissen.</w:t>
      </w:r>
    </w:p>
    <w:p>
      <w:r>
        <w:rPr>
          <w:b/>
        </w:rPr>
        <w:t>E. 5.1</w:t>
      </w:r>
    </w:p>
    <w:p>
      <w:r>
        <w:t>Wie das Bundesamt in der Vernehmlassung festhält, ist die Frage eines Vermögensverzichtes zu prüfen, wenn die Leistung der versicherten Person in einem Vermögenswert besteht. Besteht die Leistung in der Löschung oder in der Nichtinanspruchnahme eines geldwerten Rechts, ist die Frage eines Einkünfteverzichtes zu prüfen. Wird wie hier ein solches Aktivum gegen Erhalt eines Vermögenswertes gelöscht, dann ist der Vermögenswert in eine wiederkehrende Leistung umzuwandeln, damit er mit der preisgegebenen Position verglichen werden kann. Für die Umrechnung ist die Kapitalisierungstabelle der Eidgenössischen Steuerverwaltung ("Tabelle zur Umrechnung von Kapitalleistungen in lebenslängliche Renten"; vgl. BGE 122 V 394 E. 4b S. 399 f.) anzuwenden. Nach Rz 3481.03 der Wegleitung über die Ergänzungsleistungen zur AHV und IV (WEL) liegt kein Verzicht auf Einkünfte vor, wenn die Gegenleistung mindestens 90 % der Leistung beträgt, weil diesfalls die Gegenleistung als gleichwertig angesehen werden kann. Ist die nach der Tabelle ermittelte Gegenleistung dagegen kleiner als 90 % der Leistung, dann liegt ein Einkünfteverzicht im Umfang der Differenz zwischen Leistung und Gegenleistung vor.</w:t>
      </w:r>
    </w:p>
    <w:p>
      <w:r>
        <w:rPr>
          <w:b/>
        </w:rPr>
        <w:t>E. 5.2</w:t>
      </w:r>
    </w:p>
    <w:p>
      <w:r>
        <w:t>Im Jahr 2008 hat die Beschwerdeführerin die zwei Nutzniessungen löschen lassen, die einen Jahreswert von Fr. 15'076.- hatten. Als Gegenleistung hat sie Fr. 155'640.- ausbezahlt erhalten. Damit geprüft werden kann, ob die Beschwerdeführerin 2008 als damals 80-Jährige mit der Löschung der Nutzniessung auf Einkünfte verzichtet hat, ist diese Gegenleistung in eine lebenslängliche Rente umzuwandeln. Nach der Kapitalisierungstabelle entsprechen Fr. 1'000.- bei einer Frau mit Alter 80 einer Jahresrente von Fr. 89.58. Die Fr. 155'640.- entsprechen damit einem Entgelt von jährlich Fr. 13'942.-. Fr. 13'942.- entsprechen 92,48 % des Jahreswertes von Fr. 15'076.-. Da der Wert über 90 % liegt, ist nach Rz 3481.03 WEL die Gegenleistung gleichwertig. Demnach liegt kein aufzurechnender Verzicht auf Einkünfte vor.</w:t>
      </w:r>
    </w:p>
    <w:p>
      <w:r>
        <w:rPr>
          <w:b/>
        </w:rPr>
        <w:t>E. 5.3</w:t>
      </w:r>
    </w:p>
    <w:p>
      <w:r>
        <w:t>Zudem verkennt das kantonale Gericht den Sinn der von ihm angerufenen Rechtsprechung (Urteil 8C_68/2008 vom 27. Januar 2009 E. 4). Dort verzichtete die Anspruchsberechtigte durch den Verkauf der Liegenschaft auf ein mittleres Jahresmieteinkommen von Fr. 39'922.-. Sie legte den Verkaufserlös auf ein Bankkonto, das lediglich zu Fr. 2'160.- pro Jahr verzinst wurde. Dies gab dazu Anlass, der Anspruchsberechtigten ein fiktives Einkommen in Abzug zu bringen, welches dem Zins auf dem Verkehrtwert der Liegenschaft entsprach. Dies betraf somit einen anderen Sachverhalt als hier.</w:t>
      </w:r>
    </w:p>
    <w:p>
      <w:r>
        <w:rPr>
          <w:b/>
        </w:rPr>
        <w:t>E. 6</w:t>
      </w:r>
    </w:p>
    <w:p>
      <w:r>
        <w:t>Die Beschwerdegegnerin konnte das ihr als Gegenleistung für die Löschung der Nutzniessungen ausbezahlte Kapital von Fr. 155'640.- verbrauchen, ohne dass ihr nun bei der Berechnung der Ergänzungsleistung Einkünfte als Einnahmen anzurechnen sind.</w:t>
      </w:r>
    </w:p>
    <w:p>
      <w:r>
        <w:rPr>
          <w:b/>
        </w:rPr>
        <w:t>E. 7</w:t>
      </w:r>
    </w:p>
    <w:p>
      <w:r>
        <w:t>Dem Ausgang des Verfahrens entsprechend sind die Gerichtskosten der Beschwerdegegnerin aufzuerlegen ( Art. 66 Abs. 1 BGG ). Diese hat der Beschwerdeführerin eine Parteientschädigung zu bezahlen ( Art. 68 Abs. 2 BGG ). Deren Gesuch um unentgeltliche Rechtspflege für das Verfahren vor dem Bundesgericht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