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155/2012 vom 30. Juli 2012</w:t>
      </w:r>
    </w:p>
    <w:p>
      <w:r>
        <w:t>Bundesgericht, 2012-07-30, DE</w:t>
      </w:r>
    </w:p>
    <w:p>
      <w:r>
        <w:rPr>
          <w:b/>
        </w:rPr>
        <w:t xml:space="preserve">Quelle: </w:t>
      </w:r>
      <w:r>
        <w:t>https://mcp.opencaselaw.ch/entscheid/bger_9C_155_2012</w:t>
      </w:r>
    </w:p>
    <w:p>
      <w:r>
        <w:t>FR: TF 9C 155/2012 du 30 juillet 2012</w:t>
      </w:r>
    </w:p>
    <w:p>
      <w:r>
        <w:t>IT: TF 9C 155/2012 del 30 luglio 2012</w:t>
      </w:r>
    </w:p>
    <w:p>
      <w:pPr>
        <w:pStyle w:val="Heading2"/>
      </w:pPr>
      <w:r>
        <w:t>Regeste</w:t>
      </w:r>
    </w:p>
    <w:p>
      <w:r>
        <w:t>Invalidenversicherung (Parteientschädigung) | Invalidenversicherung</w:t>
      </w:r>
    </w:p>
    <w:p>
      <w:pPr>
        <w:pStyle w:val="Heading2"/>
      </w:pPr>
      <w:r>
        <w:t>Erwägungen</w:t>
      </w:r>
    </w:p>
    <w:p>
      <w:r>
        <w:rPr>
          <w:b/>
        </w:rPr>
        <w:t>E. 1.1</w:t>
      </w:r>
    </w:p>
    <w:p>
      <w:r>
        <w:t>Die auf die Revisionsverfügungen vom 22. September und 15. Dezember 2011 hin erhobene Beschwerde richtet sich gegen die Entschädigungsfolgen gemäss Entscheid des Verwaltungsgerichts vom 13. Januar 2010. Eine diesbezügliche direkte Anfechtung innert damaliger Rechtsmittelfrist war dem Beschwerdeführer, wie bereits gesagt, prozessual verwehrt (Urteil 9C_117/2010 vom 23. Juli 2010 E. 2 und 3.1; JdT 2012 I S. 36, 2C_60/2011 E. 1; vgl. auch BGE 137 V 57 E. 1.1 S. 59; 135 III 329 ; 133 V 645 ). Die Anfechtung der Entschädigungsregelung ist grundsätzlich erst mit Beschwerde gegen den Endentscheid möglich. Entscheidet die Instanz, an welche die Sache zurückgewiesen wurde, in der Hauptsache voll zugunsten der beschwerdeführenden Person, so steht dieser innerhalb der Frist gemäss Art. 100 BGG ab Rechtskraft des Endentscheids der direkte Weg ans Bundesgericht offen (erwähntes, den Beschwerdeführer betreffendes Urteil 9C_117/2010 E. 3.2; BGE 137 V 57 E. 1.1 S. 59; 135 III 329 E. 1.2.2 S. 333 in fine; 133 V 645 E. 2.2 in fine S. 648). Mit Verfügung der IV-Stelle vom 15. Dezember 2011 stand fest, dass dem materiellrechtlichen Begehren des Beschwerdeführers auf Zusprechung einer höheren Invalidenrente vollumfänglich entsprochen wird. Die am 14. Februar 2012 direkt beim Bundesgericht eingereichte Beschwerde gegen die Entschädigungsregelung (Dispositiv-Ziffer 2) im verwaltungsgerichtlichen Kostenentscheid vom 13. Januar 2010 erfolgte auf jeden Fall innert der 30-tägigen Beschwerdefrist ( Art. 100 Abs. 1 BGG ) ab Eintritt der Rechtskraft der Revisionsverfügung vom 15. Dezember 2011 (vgl. Art. 60 Abs. 1 und 2 ATSG [SR 830.1]; letzterer Abs. in Verbindung mit Art. 38 Abs. 4 lit. c ATSG ).</w:t>
      </w:r>
    </w:p>
    <w:p>
      <w:r>
        <w:rPr>
          <w:b/>
        </w:rPr>
        <w:t>E. 1.2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Soweit sich der vorinstanzliche Entscheid auf kantonales Recht stützt, kommt als Beschwerdegrund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(vgl. BGE 133 II 249 E. 1.2.1 S. 251 f.; Urteil 8C_123/2009 vom 18. Januar 2010 E. 2 mit Hinweisen).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 zum Ganzen: BGE 137 V 57 E. 1.3 S. 59).</w:t>
      </w:r>
    </w:p>
    <w:p>
      <w:r>
        <w:rPr>
          <w:b/>
        </w:rPr>
        <w:t>E. 2.1</w:t>
      </w:r>
    </w:p>
    <w:p>
      <w:r>
        <w:t>Der Beschwerdeführer beanstandet, dass mit der vorinstanzlich zugesprochenen Parteientschädigung von Fr. 1600.- (einschliesslich Barauslagen) nicht einmal die Hälfte der effektiv angefallenen und ausgewiesenen Parteikosten gedeckt würden. Weder habe das kantonale Gericht auf die mit Schreiben vom 26. März 2009 eingereichte Honorarnote (mit Leistungsübersicht) Bezug genommen noch habe es anderweitig begründet, von welchen Überlegungen es sich bei der Festlegung der Entschädigung leiten liess. Die Sache sei daher zumindest zur korrekten Durchführung des Verfahrens an die Vorinstanz zurückzuweisen.</w:t>
      </w:r>
    </w:p>
    <w:p>
      <w:r>
        <w:rPr>
          <w:b/>
        </w:rPr>
        <w:t>E. 2.2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(Ingress von Art. 61 ATSG ), prüft das Bundesgericht darüber hinaus nur, ob die Höhe der Parteientschädigung vor dem Willkürverbot standhält. Dies gilt insbesondere mit Bezug auf den vom kantonalen Versicherungsgericht angewandten Tarif (SVR 2011 AHV Nr. 7 S. 23, 9C_338/2010 E. 3.2 mit Hinweis). Nach der Rechtsprechung muss der Entscheid über die zu entrichtende Parteientschädigung in der Regel nicht begründet werden. Um überhaupt eine sachgerechte Anfechtung zu ermöglichen (vgl. hiezu BGE 124 V 180 E. 1a S. 181 mit Hinweisen), wird eine Begründungspflicht jedoch angenommen, wenn sich das Gericht nicht an vorgegebene Tarife oder gesetzliche Regelungen hält oder sofern von einer Partei aussergewöhnliche Umstände geltend gemacht werden ( BGE 111 Ia 1 ; ZAK 1986 S. 133, I 343/85 E. 2a) oder schliesslich wenn das Gericht den Rechtsvertreter zur Einreichung einer Kostennote auffordert und die Parteientschädigung abweichend von der Kostennote auf einen bestimmten, nicht der üblichen, praxisgemäss gewährten Entschädigung entsprechenden Betrag festsetzt (Urteil U 181/94 vom 23. März 1995 E. 1b). Diese Grundsätze sind auch anzuwenden, wenn der Rechtsvertreter, wie hier, die Kostennote ohne vorgängige richterliche Aufforderung einreicht (SVR 2003 IV Nr. 32 S. 97, I 30/03 E. 4.1 mit Hinweisen; Urteil 8C_757/2007 vom 29. Oktober 2008 E. 4.2).</w:t>
      </w:r>
    </w:p>
    <w:p>
      <w:r>
        <w:rPr>
          <w:b/>
        </w:rPr>
        <w:t>E. 2.3</w:t>
      </w:r>
    </w:p>
    <w:p>
      <w:r>
        <w:t>Wie vom Beschwerdeführer zu Recht bemängelt wird, hat die Vorinstanz in keiner Weise auf die bei ihr eingereichte Kostennote Bezug genommen. Sie hat zur Begründung der zugesprochenen Parteientschädigung lediglich auf die (auch) in Art. 61 lit. g ATSG festgelegten Grundsätze sowie auf den bis Ende September 2009 gültig gewesenen thurgauischen Anwaltstarif für Streitigkeiten vor dem Verwaltungsgericht vom 14. August 1991 (aATVG) verwiesen. Mithin liess sich dem Parteikostenentscheid nicht entnehmen, welchen Stundenansatz das kantonale Gericht veranschlagt hatte und von welchem Stundenaufwand es ausgegangen war. Damit vermag der Entscheid der richterlichen Begründungspflicht - die einen wesentlichen Bestandteil des Anspruchs auf rechtliches Gehör bildet ( BGE 129 I 232 E. 3.2 S. 236 f.) - nicht zu genügen. Die Sache ist deshalb, dem Eventualantrag des Beschwerdeführers entsprechend, an die Vorinstanz zurückzuweisen, damit diese in Kenntnis der Honorarnote die Entschädigung neu festlege und eine allfällige Abweichung begründe. Ein Vorgehen im Sinne des Hauptantrags des Beschwerdeführers (ausnahmsweise Heilung der Gehörsverletzung und Prüfung des Anspruchs auf die beantragte Parteientschädigung durch das Bundesgericht) verbietet sich schon deshalb, weil die Begründung dieses Rechtsbegehrens den qualifizierten Anforderungen des Art. 106 Abs. 2 BGG (E. 1.2 hievor) nicht zu genügen vermag, wird doch in der Beschwerde ans Bundesgericht eine (praktisch allein zu prüfende) Verletzung des Willkürverbots durch den vorinstanzlichen Parteikostenentscheid nicht einmal gerügt.</w:t>
      </w:r>
    </w:p>
    <w:p>
      <w:r>
        <w:rPr>
          <w:b/>
        </w:rPr>
        <w:t>E. 3</w:t>
      </w:r>
    </w:p>
    <w:p>
      <w:r>
        <w:t>Ausgangsgemäss trägt die Beschwerdegegnerin die Gerichtskosten ( Art. 66 Abs. 1 BGG ). Ausserdem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