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9C_155/2011 vom 23. Mai 2011</w:t>
      </w:r>
    </w:p>
    <w:p>
      <w:r>
        <w:t>Bundesgericht, 2011-05-23, DE</w:t>
      </w:r>
    </w:p>
    <w:p>
      <w:r>
        <w:rPr>
          <w:b/>
        </w:rPr>
        <w:t xml:space="preserve">Quelle: </w:t>
      </w:r>
      <w:r>
        <w:t>https://mcp.opencaselaw.ch/entscheid/bger_9C_155_2011</w:t>
      </w:r>
    </w:p>
    <w:p>
      <w:r>
        <w:t>FR: TF 9C_155/2011 du 23 mai 2011</w:t>
      </w:r>
    </w:p>
    <w:p>
      <w:r>
        <w:t>IT: TF 9C_155/2011 del 23 maggio 2011</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w:t>
      </w:r>
    </w:p>
    <w:p>
      <w:r>
        <w:rPr>
          <w:b/>
        </w:rPr>
        <w:t>E. 2.1</w:t>
      </w:r>
    </w:p>
    <w:p>
      <w:r>
        <w:t>Das kantonale Gericht hat die gesetzlichen Bestimmungen und die von der Rechtsprechung entwickelten Grundsätze über die Erwerbsunfähigkeit ( Art. 7 Abs. 1 ATSG ), den Invaliditätsbegriff ( Art. 8 Abs. 1 ATSG ), die Höhe des Rentenanspruchs ( Art. 28 Abs. 2 IVG ) sowie zum Beweiswert und zur Beweiswürdigung ärztlicher Berichte und Gutachten ( BGE 125 V 351 E. 3a S. 352 mit Hinweis; vgl. auch SUSANNE BOLLINGER, Der Beweiswert psychiatrischer Gutachten in der Invalidenversicherung unter besonderer Berücksichtigung der bundesgerichtlichen Rechtsprechung, Jusletter vom 31. Januar 2011) richtig dargelegt. Darauf wird verwiesen.</w:t>
      </w:r>
    </w:p>
    <w:p>
      <w:r>
        <w:rPr>
          <w:b/>
        </w:rPr>
        <w:t>E. 2.2</w:t>
      </w:r>
    </w:p>
    <w:p>
      <w:r>
        <w:t>Dasselbe gilt für die Darlegung der Rechtsprechung, wonach eine fachärztlich (psychiatrisch) diagnostizierte anhaltende somatoforme Schmerzstörung als solche noch keine Invalidität begründet.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therapeutischen Ansatz) trotz kooperativer Haltung der versicherten Person. Je mehr dieser Kriterien zutreffen und je ausgeprägter sich die entsprechenden Befunde darstellen, desto eher sind - ausnahmsweise - die Voraussetzungen für eine zumutbare Willensanstrengung zu verneinen ( BGE 132 V 65 E. 4.2 S. 70; 131 V 49 ; 130 V 352 ; SVR 2008 IV Nr. 62 S. 204, 9C_830/2007 E. 4.2; vgl. auch BGE 135 V 201 E. 7.1.2 und 7.1.3 S. 212 f. sowie 215 E. 6.1.2 und 6.1.3 S. 226 f.; MEYER-BLASER, Der Rechtsbegriff der Arbeitsunfähigkeit und seine Bedeutung in der Sozialversicherung, in: Schaffhauser/Schlauri [Hrsg.], Schmerz und Arbeitsunfähigkeit, St. Gallen 2003, S. 77).</w:t>
      </w:r>
    </w:p>
    <w:p>
      <w:r>
        <w:rPr>
          <w:b/>
        </w:rPr>
        <w:t>E. 3.1</w:t>
      </w:r>
    </w:p>
    <w:p>
      <w:r>
        <w:t>Gerügt wird, die Vorinstanz habe den Sachverhalt in Bezug auf die Frage, ob eine Persönlichkeitsstörung vorliege, offensichtlich unrichtig festgestellt und so den Untersuchungsgrundsatz verletzt. Die Vorinstanz habe die von der Administrativgutachterin C._______ gestellte Diagnose zwar als korrekt anerkannt, die von ihr damit verbundene Einschränkung der Leistungsfähigkeit (Arbeitsfähigkeit von 60 %) jedoch nicht bestätigt. Aufgrund der widersprüchlichen und nicht schlüssigen Aktenlage wäre das Gericht gehalten gewesen, die Sache zur näheren Abklärung der Arbeitsfähigkeit aus psychiatrischer Sicht an die Verwaltung zurückzuweisen.</w:t>
      </w:r>
    </w:p>
    <w:p>
      <w:r>
        <w:rPr>
          <w:b/>
        </w:rPr>
        <w:t>E. 3.2</w:t>
      </w:r>
    </w:p>
    <w:p>
      <w:r>
        <w:t>In der Tat hat die Vorinstanz sich im Wesentlichen auf das erwähnte Teilgutachten C._______ vom 25. November 2009 abgestützt, wonach die Beschwerdeführerin an somatoformer Schmerzstörung und Dysthymie, aber nicht an einer psychiatrischen Störung von erheblicher Schwere und einem erheblichen Komorbiditätsrisiko leidet. Dass sie in ihrer Erwägung 3.3.2 der gutachterlichen Einschätzung einer teilweisen Unüberwindbarkeit der somatoformen Schmerzstörung und darum eingeschränkten Arbeitsfähigkeit nicht folgte, macht die Sachverhaltswürdigung weder offensichtlich unrichtig noch sonst wie rechtsfehlerhaft (vgl. vorne E. 1). Die massgebenden Morbiditätskriterien sind von der Vorinstanz unter einlässlicher Würdigung der medizinischen Akten geprüft worden. Der Schluss, es lägen weder ein mitwirkendes psychisches Leiden von erheblicher Schwere, Ausprägung und Dauer vor, noch andere qualifizierende Kriterien in der erforderlichen Zahl, Intensität und Konstanz, weshalb insgesamt nicht von einer unzumutbaren Willensanstrengung zur Verwertung der verbliebenen Arbeitskraft auszugehen sei, ist korrekt. Kriterien für das Bestehen eines Ausnahmefalls (vorne E. 2 2.) sind hier nicht gegeben. Eine Bundesrechtsverletzung ergibt sich ferner nicht unter dem Gesichtswinkel der von der behandelnden Psychiaterin, Frau Dr. med. L._______, zusätzlich gestellten Diagnose einer ängstlich vermeidenden Persönlichkeitsstörung (ICD 10 F60.6), gilt es doch die beträchtlichen psychiatrischen Interpretations- und Beurteilungsspielräume in solchen Fragen zu berücksichtigen, weshalb von einer offensichtlichen Unrichtigkeit des kantonalen Gerichtsentscheides (E. 1) nicht die Rede sein kann. Auch im Lichte der versicherungsärztlichen Stellungnahme (RAD-Arzt Dr. med. B.________, Facharzt für Psychiatrie und Psychotherapie FMH) vom 17. Juni 2010 ändert sich im Ergebnis nichts.</w:t>
      </w:r>
    </w:p>
    <w:p>
      <w:r>
        <w:rPr>
          <w:b/>
        </w:rPr>
        <w:t>E. 4</w:t>
      </w:r>
    </w:p>
    <w:p>
      <w:r>
        <w:t>Die Beschwerde hatte keine Aussicht auf Erfolg, weshalb sie im vereinfachten Verfahren nach Art. 109 BGG als offensichtlich unbegründet (Abs. 2 lit. a), ohne Durchführung des Schriftenwechsels und unter Auferlegung der Gerichtskosten an die unterlegene Beschwerdeführerin ( Art. 66 Abs. 1 BGG ) erledigt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