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153/2010 vom 1. September 2010</w:t>
      </w:r>
    </w:p>
    <w:p>
      <w:r>
        <w:t>Bundesgericht, 2010-09-01, DE</w:t>
      </w:r>
    </w:p>
    <w:p>
      <w:r>
        <w:rPr>
          <w:b/>
        </w:rPr>
        <w:t xml:space="preserve">Quelle: </w:t>
      </w:r>
      <w:r>
        <w:t>https://mcp.opencaselaw.ch/entscheid/bger_9C_153_2010</w:t>
      </w:r>
    </w:p>
    <w:p>
      <w:r>
        <w:t>FR: TF 9C 153/2010 du 1 septembre 2010</w:t>
      </w:r>
    </w:p>
    <w:p>
      <w:r>
        <w:t>IT: TF 9C 153/2010 del 1 settembre 2010</w:t>
      </w:r>
    </w:p>
    <w:p>
      <w:pPr>
        <w:pStyle w:val="Heading2"/>
      </w:pPr>
      <w:r>
        <w:t>Regeste</w:t>
      </w:r>
    </w:p>
    <w:p>
      <w:r>
        <w:t>Berufliche Vorsorge (Ehescheidung) | Berufliche Vorsorge</w:t>
      </w:r>
    </w:p>
    <w:p>
      <w:pPr>
        <w:pStyle w:val="Heading2"/>
      </w:pPr>
      <w:r>
        <w:t>Erwägungen</w:t>
      </w:r>
    </w:p>
    <w:p>
      <w:r>
        <w:rPr>
          <w:b/>
        </w:rPr>
        <w:t>E. 1.1</w:t>
      </w:r>
    </w:p>
    <w:p>
      <w:r>
        <w:t>In das an die Scheidung anschliessende Verfahren betreffend die Teilung der Austrittsleistungen der beruflichen Vorsorge - in welchem die Rechtmässigkeit einer während der Ehe erfolgten Barauszahlung einer Freizügigkeitsleistung und eines sich daraus ergebenden Schadenersatzanspruchs vorfrageweise zu beurteilen ist ( BGE 135 V 232 E. 2.4 S. 236) - sind neben den geschiedenen Ehegatten auch alle beteiligten Vorsorge- und Freizügigkeitseinrichtungen einzubeziehen ( Art. 142 Abs. 3 Ziff. 3 ZGB und Art. 25a Abs. 2 FZG ; BGE 135 V 232 E. 2.3 S. 235). Die geforderte Leistung (Austrittsleistungen resp. Schadenersatz) ist im Fall ihrer Bejahung denn auch direkt durch eine Vorsorgeeinrichtung des anderen geschiedenen Ehegatten und nicht durch diesen zu erbringen, jedoch mit entsprechenden Auswirkungen auf das zwischen geschiedenem Ehegatten und verpflichteter Vorsorgeeinrichtung bestehende Rechtsverhältnis. Beteiligt ist, wessen Leistungspflicht grundsätzlich in Betracht fällt; die Parteistellung einer bestimmten Person ergibt sich jedenfalls nicht aus dem Ausgang des Verfahrens. Die Beschwerdeführerin hat in ihren Eingaben stets Forderungen gegen die Freizügigkeitsstiftung geltend gemacht. Diese ist im Rubrum des angefochtenen Entscheids nicht als Partei aufgeführt; dennoch hat die Vorinstanz deren Verfahrensbeteiligung betreffend die Schadenersatzforderung bejaht, über die Teilung der Austrittsleistungen sowie den Schadenersatzanspruch entschieden und auch ihr den Entscheid mitgeteilt. Die Freizügigkeitsstiftung ist daher Beschwerdegegnerin im letztinstanzlichen Verfahren.</w:t>
      </w:r>
    </w:p>
    <w:p>
      <w:r>
        <w:rPr>
          <w:b/>
        </w:rPr>
        <w:t>E. 1.2</w:t>
      </w:r>
    </w:p>
    <w:p>
      <w:r>
        <w:t>Was die Freizügigkeitsstiftung anbelangt, ist das Leistungsbegehren zulässig (vgl. BGE 135 V 232 E. 2.4 S. 236). Hinsichtlich des geschiedenen Ehemannes trifft zu, dass mit dessen Tod seine Rechts- und Parteifähigkeit in Bezug auf die streitigen Belange dahingefallen ist. Ein schutzwürdiges Interesse ( Art. 89 Abs. 1 lit. c BGG ) betreffend die Feststellungsanträge - soweit diese nicht ohnehin neu und daher unzulässig sind ( Art. 99 Abs. 2 BGG ) - ist indessen nicht ersichtlich, weshalb darauf nicht weiter einzugehen ist.</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Die Vorinstanz ist der Auffassung, die Freizügigkeitsstiftung habe sich keine Sorgfaltspflichtverletzung zuschulden kommen lassen, und hat - ohne Prüfung der weiteren Voraussetzungen, insbesondere der schriftlichen Zustimmung durch die Ehefrau - einen Anspruch auf Schadenersatz verneint. Deswegen und weil der potentiell begünstigte geschiedene Ehemann gestorben sei, ergebe die vom Scheidungsgericht angeordnete Teilung der Austrittsleistung der Beschwerdeführerin keinen Sinn mehr, weshalb sie in analoger Anwendung von Art. 123 ZGB verweigert werde. Streitig und zu prüfen ist die Rechtmässigkeit der während der Ehe erfolgten Barauszahlung der Freizügigkeitsleistung des (damaligen) Ehemannes im Hinblick auf die laut Art. 5 Abs. 2 FZG [SR 831.42] dafür erforderliche Zustimmung der Ehefrau.</w:t>
      </w:r>
    </w:p>
    <w:p>
      <w:r>
        <w:rPr>
          <w:b/>
        </w:rPr>
        <w:t>E. 4.1</w:t>
      </w:r>
    </w:p>
    <w:p>
      <w:r>
        <w:t>Ein Freizügigkeitskonto wird im Rahmen der Säule 2b durch einen privatrechtlichen Vorsorgevertrag begründet, der rechtsdogmatisch den Innominatverträgen zuzuordnen ist ( BGE 129 III 307 mit Hinweisen auf BGE 118 V 232 E. 4b und 122 V 145 E. 4b). Bei nicht gehöriger Erfüllung dieses Vorsorgevertrags gelangen die in Art. 97 ff. OR festgelegten Regeln zur Anwendung. Eine Vorsorgeeinrichtung hat daher nach Art. 97 Abs. 1 OR für den durch die fehlerhafte Barauszahlung entstandenen Schaden Ersatz zu leisten, sofern sie nicht beweist, dass ihr keinerlei Verschulden, wobei bereits leichte Fahrlässigkeit genügt, zur Last falle. Ob einer Einrichtung der beruflichen Vorsorge eine Verletzung der ihr zukommenden Sorgfaltspflicht vorgeworfen werden kann, weil sie die (gefälschte) Unterschrift auf dem Auszahlungsformular nicht überprüft hat, ist aufgrund der konkreten Umstände des Einzelfalles zu beurteilen ( BGE 130 V 103 E. 3.3 S. 109 f.; SZS 2007 S. 164, B 126/04 E. 2.2; SZS 2006 S. 460, B 98/04 E. 2.2; Urteil B 58/01 vom 7. Januar 2004 E. 3.2).</w:t>
      </w:r>
    </w:p>
    <w:p>
      <w:r>
        <w:rPr>
          <w:b/>
        </w:rPr>
        <w:t>E. 4.2</w:t>
      </w:r>
    </w:p>
    <w:p>
      <w:r>
        <w:t>Die Vorinstanz hat nicht offensichtlich unrichtig und daher für das Bundesgericht verbindlich (E. 2) festgestellt, die Freizügigkeitsstiftung habe D.________ am 2. Februar 2006 die Eröffnung des Freizügigkeitskontos und den Eingang des Betrags von Fr. 106'214.95 (Valuta 31. Januar 2006) angezeigt. Am 20. Februar 2006 habe er die Barauszahlung verlangt. Dem Antrag, worauf unterschriftlich bestätigt die Zustimmung der Ehefrau vermerkt gewesen sei, habe er u.a. eine Kopie des jugoslawischen Reisepasses seiner Frau beigelegt. Die Freizügigkeitsstiftung habe am 28. Februar 2006 die Auszahlung von insgesamt Fr. 106'329.30 veranlasst. Im Hinblick auf die Sorgfaltspflicht der Freizügigkeitsstiftung hat das kantonale Gericht erwogen, es habe nichts darauf hingedeutet, dass das Auszahlungsbegehren mit der Unterschrift der Ehefrau manipuliert worden sei, und angesichts des seriös wirkenden und umfassend dokumentierten Gesuchs sei es nicht sorgfaltswidrig, dass ein solcher Verdacht nicht aufgekommen sei. Die Stiftung habe daher von der Zustimmung der Ehefrau ausgehen dürfen. Ein getrennter Wohnsitz stelle kein Auszahlungshindernis dar und hinsichtlich der kurzen zeitlichen Abfolge von Kontoeröffnung und Auszahlungsbegehren bestehe keine Begründungspflicht, weshalb diesen Umständen keine eigenständige Bedeutung zukomme. Dieser Auffassung ist nicht beizupflichten (zur Qualifikation als Rechtsfrage vgl. Urteil K 70/06 vom 30. Juli 2007 E. 5.4 mit Hinweis, nicht publ. in: BGE 133 V 579 ). Aus den vorinstanzlichen Ausführungen, den Parteibehauptungen und den Unterlagen geht hervor, dass die Freizügigkeitsstiftung allenfalls den Auszahlungsgrund (die Aufnahme einer selbstständigen Erwerbstätigkeit im Sinn von Art. 5 Abs. 1 lit. b FZG ), nicht jedoch das formelle Erfordernis der schriftlichen Zustimmung der Ehefrau ( Art. 5 Abs. 2 FZG ) ausreichend überprüfte, sondern diesbezüglich nichts weiter unternahm, als die Unterschrift auf dem Auszahlungsbegehren mit jener auf der Kopie des Reisepasses zu vergleichen. Es liegt in der Natur einer gefälschten Unterschrift, dass Hinweise auf deren Manipulation vertuscht werden. Der Vergleich mit der kopierten Unterschrift im Reisepass - dessen Ausstelldatum im Übrigen nicht ersichtlich ist - erlaubt zwar den Schluss, dass die Unterschriften nicht (wesentlich) voneinander abweichen, nicht aber, dass mit dem Auszahlungsbegehren die Zustimmung tatsächlich erteilt wurde oder dass weitere Abklärungen nicht angezeigt gewesen wären. Weiter führt die Beschwerdegegnerin Freizügigkeitskonten für eine Vielzahl von Personen, die nicht (mehr) der obligatorischen beruflichen Vorsorge unterstehen. So ist nicht ersichtlich und wurde resp. wird auch nicht geltend gemacht, dass ihr der Kontoinhaber oder dessen Ehefrau bekannt gewesen wären (vgl. BGE 130 V 103 E. 3.4 S. 110; Urteil B 58/01 vom 7. Januar 2004 E. 3.3) oder dass sie mit diesen Geschäftsbeziehungen gepflegt hätte. Ausserdem wurde ihr die Austrittsleistung nicht von einer Vorsorgeeinrichtung, wie es im Rahmen der Aufgabe einer unselbstständigen Tätigkeit üblich ist, sondern von einer anderen Freizügigkeitsstiftung überwiesen. Bereits nach rund drei Wochen verlangte der Kontoinhaber die Auszahlung, obwohl er sie aufgrund der wenige Monate zuvor aufgenommenen Tätigkeit als selbstständig Erwerbender direkt von der überweisenden Stiftung hätte verlangen können. Unter den gegebenen Umständen hat die Freizügigkeitsstiftung ihre Sorgfaltspflicht verletzt, indem sie auf die im Auszahlungsbegehren ersichtliche Zustimmung abgestellt hat, ohne weitere Abklärungen zu treffen.</w:t>
      </w:r>
    </w:p>
    <w:p>
      <w:r>
        <w:rPr>
          <w:b/>
        </w:rPr>
        <w:t>E. 4.3</w:t>
      </w:r>
    </w:p>
    <w:p>
      <w:r>
        <w:t>In Bezug auf die behauptete fehlende Zustimmung der Ehefrau resp. die von ihr stets bestrittene Echtheit der Unterschrift fehlen im angefochtenen Entscheid abschliessende Feststellungen. Die Vorinstanz hat hinsichtlich der Möglichkeit einer fototechnischen Übertragung festgehalten, dies lasse sich "aus Sicht des Laien und des Gerichts" nicht beantworten. Sie wird diesbezüglich - etwa durch Anordnung eines Schriftgutachtens - sowie hinsichtlich der übrigen Anspruchsvoraussetzungen (E. 4.1; Art. 97 OR ) den Sachverhalt (von Amtes wegen, vgl. Art. 73 Abs. 1 lit. a und Abs. 2 BVG [SR 831.40]) abzuklären und anschliessend die Forderung der Beschwerdeführerin neu zu beurteilen haben.</w:t>
      </w:r>
    </w:p>
    <w:p>
      <w:r>
        <w:rPr>
          <w:b/>
        </w:rPr>
        <w:t>E. 4.4</w:t>
      </w:r>
    </w:p>
    <w:p>
      <w:r>
        <w:t>Das Scheidungsurteil vom 7. Dezember 2006 kann in guten Treuen so verstanden werden, dass bei beiden Ehegatten das Vorliegen einer teilbaren Austrittsleistung resp. eines Schadenersatzanspruchs unterstellt wurde. Kommt das kantonale Vorsorgegericht zum Schluss, dass dies nicht zutrifft und ist deshalb eine Teilung der Vorsorgeansprüche nicht möglich (vgl. Art. 122 und 124 ZGB ), wird die Sache anschliessend von Amtes wegen an den zuständigen Scheidungsrichter zu überweisen sein (BGE 9C_388/2009 vom 10. Mai 2010 E. 5.3).</w:t>
      </w:r>
    </w:p>
    <w:p>
      <w:r>
        <w:rPr>
          <w:b/>
        </w:rPr>
        <w:t>E. 5</w:t>
      </w:r>
    </w:p>
    <w:p>
      <w:r>
        <w:t>Der unterliegenden Freizügigkeitsstiftung sind die Gerichtskosten aufzuerlegen ( Art. 66 Abs. 1 BGG ). Überdies hat sie der materiell vollständig obsiegenden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