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9C_152/2021 vom 25. August 2021</w:t>
      </w:r>
    </w:p>
    <w:p>
      <w:r>
        <w:t>Bundesgericht, 2021-08-25, DE</w:t>
      </w:r>
    </w:p>
    <w:p>
      <w:r>
        <w:rPr>
          <w:b/>
        </w:rPr>
        <w:t xml:space="preserve">Quelle: </w:t>
      </w:r>
      <w:r>
        <w:t>https://mcp.opencaselaw.ch/entscheid/bger_9C_152_2021</w:t>
      </w:r>
    </w:p>
    <w:p>
      <w:r>
        <w:t>FR: TF 9C_152/2021 du 25 août 2021</w:t>
      </w:r>
    </w:p>
    <w:p>
      <w:r>
        <w:t>IT: TF 9C_152/2021 del 25 agosto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Urteil 9C_48/2021 vom 12. Mai 2021 E. 3.2).</w:t>
      </w:r>
    </w:p>
    <w:p>
      <w:r>
        <w:rPr>
          <w:b/>
        </w:rPr>
        <w:t>E. 2.2</w:t>
      </w:r>
    </w:p>
    <w:p>
      <w:r>
        <w:t>Ob eine anspruchserhebliche Änderung nach Art. 87 Abs. 3 in Verbindung mit Abs. 2 IVV glaubhaft gemacht ist, stellt eine vom Bundesgericht nur unter dem Blickwinkel von Art. 105 Abs. 2 BGG überprüfbare Tatfrage dar (E. 1 hiervor). Um eine Frage rechtlicher Natur handelt es sich hingegen, wenn zu beurteilen ist, wie hohe Anforderungen an das Glaubhaftmachen im Sinne von Art. 87 Abs. 3 IVV zu stellen sind (Urteil 8C_367/2020 vom 4. August 2020 E. 2.2 mit Hinweis).</w:t>
      </w:r>
    </w:p>
    <w:p>
      <w:r>
        <w:rPr>
          <w:b/>
        </w:rPr>
        <w:t>E. 3</w:t>
      </w:r>
    </w:p>
    <w:p>
      <w:r>
        <w:t>Streitig und zu prüfen ist, ob die Vorinstanz bundesrechtskonform entschieden hat, die IV-Stelle sei nach der Verneinung eines Rentenanspruchs mit Verfügung vom 26. März 2018 zu Recht nicht auf die im März 2020 erfolgte Neuanmeldung eingetreten (Verfügung vom 26. Mai 2020).</w:t>
      </w:r>
    </w:p>
    <w:p>
      <w:r>
        <w:rPr>
          <w:b/>
        </w:rPr>
        <w:t>E. 4</w:t>
      </w:r>
    </w:p>
    <w:p>
      <w:r>
        <w:t>Das kantonale Gericht gelangte zum Ergebnis, mit den von der Beschwerdeführerin eingereichten Berichten sei eine Verschlechterung des Gesundheitszustandes im massgebenden Vergleichszeitraum (d.h. in der Zeit zwischen dem 26. März 2018 und dem 26. Mai 2020) weder aus psychischer noch aus rheumatologischer Sicht glaubhaft gemacht.</w:t>
      </w:r>
    </w:p>
    <w:p>
      <w:r>
        <w:t>Der Bericht vom 18. April 2020, in welchem psychiatrische Diagnosen aufgelistet, aber nicht nachvollziehbar hergeleitet würden, gebe keine Anhaltspunkte für eine relevante Verschlechterung des psychischen Gesundheitszustandes. Ohnehin aber würde allein eine neu gestellte Diagnose nicht genügen, weil damit über das quantitative Element einer relevanten, die Arbeitsfähigkeit beeinträchtigenden Veränderung des Gesundheitszustandes nicht zwingend etwas ausgesagt werde. Eine erhebliche Verschlechterung ergebe sich auch nicht bei einem Vergleich mit dem psychiatrischen Gutachten des Dr. med. B.________ vom 28. August 2017. Wie auch der Stellungnahme des RAD vom 22. Mai 2020 zu entnehmen sei, enthalte der Bericht vom 18. April 2020 lediglich verschiedene bereits vorbekannte psychiatrische Diagnosen (so eine einfache Aktivitäts- und Aufmerksamkeitsstörung, die Züge einer Borderlinepersönlichkeit [vordiagnostiziert seien akzentuierte Persönlichkeitszüge], die Agoraphobie, eine rezidivierende depressive Störung [gegenwärtig leichte Episode] und das Cannabisabhängigkeitssyndrom).</w:t>
      </w:r>
    </w:p>
    <w:p>
      <w:r>
        <w:t>Zu den somatischen Verhältnissen äussere sich Dr. med. H.________ in seinem (im Zeitpunkt der Neuanmeldung bereits fast zwei Jahre alten) Bericht vom 5. März 2018, allerdings ohne eine Einschätzung der Auswirkungen der erhobenen Befunde auf die Arbeitsfähigkeit abzugeben. Nach seiner zusammenfassenden Beurteilung (unter Einbezug der am 14. Februar 2018 durchgeführten bildgebenden Verfahren [REOSGWS und MRI der Lendenwirbelsäule]) bestehe klinisch kein neurologisches Defizit (eine örtliche Schmerzhaftigkeit lasse keine klaren Schlüsse auf die Schmerzursache zu) und zeigten sich radiologisch um beide Cages Lockerungssäume, wobei in den Bildern darüber hinaus keine relevante Pathologie zu erkennen sei. Damit bestehe im Vergleich mit den der Verfügung vom 26. März 2018 zugrunde liegenden Unterlagen keine erhebliche Veränderung der Rückenproblematik. Zudem ergebe sich aus den Akten nicht, dass die Versicherte sich den von Dr. med. H.________ vorgeschlagenen weiteren Untersuchungen unterzogen (CT bzw. Szintigraphie) oder seine Empfehlungen umgesetzt hätte (Überweisung an ein Schmerzzentrum zwecks Schulung des Umgangs mit den Schmerzen und Optimierung der medikamentösen Therapie inkl. Cannabiskonsum). Bei dieser Sachlage sei eine relevante Veränderung auch in somatischer Sicht nicht glaubhaft gemacht.</w:t>
      </w:r>
    </w:p>
    <w:p>
      <w:r>
        <w:rPr>
          <w:b/>
        </w:rPr>
        <w:t>E. 5.1</w:t>
      </w:r>
    </w:p>
    <w:p>
      <w:r>
        <w:t>Die Beschwerdeführerin lässt vorbringen, die Leistungsablehnung gemäss Verfügung vom 26. März 2018 sei in Anwendung von Art. 43 Abs. 3 ATSG aufgrund der Akten erfolgt, weil sie damals nicht zur rheumatologischen Begutachtung durch Dr. med. C.________ erschienen sei. Die Sanktion (bestehend im Entscheid aufgrund der Akten) könne nur solange andauern, als das obstruktive Verhalten fortbestehe. Ihre Aufgabe der Verweigerung, an medizinischen Untersuchungen mitzuwirken, sei als Neuanmeldung zu behandeln. Bereits aus diesem Grund hätte die IV-Stelle den Leistungsanspruch auf das Gesuch vom März 2020 hin neu abklären und unter anderem ein rheumatologisches Gutachten in Auftrag geben müssen, wozu sie im angefochtenen Entscheid zu verpflichten gewesen wäre.</w:t>
      </w:r>
    </w:p>
    <w:p>
      <w:r>
        <w:rPr>
          <w:b/>
        </w:rPr>
        <w:t>E. 5.1.1</w:t>
      </w:r>
    </w:p>
    <w:p>
      <w:r>
        <w:t>Es steht ausser Frage, dass das von der Beschwerdeführerin im März 2020 eingereichte Gesuch eine Neuanmeldung darstellt und von der IV-Stelle auch als solche entgegengenommen wurde. Aus diesem Grund ist nicht näher einzugehen auf die in der Beschwerde angeführte Rechtsprechung, wonach die spätere Aufgabe der Verweigerung, im Rahmen einer erstmaligen Abklärung des Leistungsanspruches mitzuwirken, als Neuanmeldung zu betrachten ist (vgl. dazu Urteil 8C_733/2010 vom 10. Dezember 2010 E. 5.6 mit weiteren Hinweisen).</w:t>
      </w:r>
    </w:p>
    <w:p>
      <w:r>
        <w:rPr>
          <w:b/>
        </w:rPr>
        <w:t>E. 5.1.2</w:t>
      </w:r>
    </w:p>
    <w:p>
      <w:r>
        <w:t>Entgegen der in der Beschwerde vertretenen Auffassung bedeutet die Behandlung des Gesuchs vom März 2020 als Neuanmeldung indessen nicht, dass die Verwaltung darauf zwingend hätte eintreten müssen. Vielmehr wäre die IV-Stelle dazu lediglich dann verpflichtet gewesen, wenn glaubhaft gemacht worden wäre, der Invaliditätsgrad habe sich im massgebenden Vergleichszeitraum in einer für den Anspruch erheblichen Weise verändert (Art. 87 Abs. 3 in Verbindung mit Abs. 2 IVV; vgl. dazu E. 5.2 hiernach). Die davon abweichenden Ausführungen in der Beschwerde betreffen den hier nicht gegebenen Fall, dass die IV-Stelle ein erstes Leistungsgesuch infolge Widersetzlichkeit keiner materiellen Prüfung unterzog und darauf nicht eintrat (vgl. UELI KIESER, ATSG-Kommentar, 4. Aufl. 2020, N. 116 zu Art. 43 ATSG ; MEYER/REICHMUTH, Rechtsprechung des Bundesgerichts zum Sozialversicherungsrecht, Bundesgesetz über die Invalidenversicherung [IVG], 3. Aufl. 2014, Rz. 126 zu Art. 30-31 IVG ). Weiterungen dazu erübrigen sich.</w:t>
      </w:r>
    </w:p>
    <w:p>
      <w:r>
        <w:rPr>
          <w:b/>
        </w:rPr>
        <w:t>E. 5.2</w:t>
      </w:r>
    </w:p>
    <w:p>
      <w:r>
        <w:t>Nicht gefolgt werden kann der Beschwerdeführerin auch insoweit, als sie dafürhält, das kantonale Gericht habe zu hohe Hürden für die Glaubhaftmachung im Sinne von Art. 87 Abs. 3 IVV aufgestellt. Vorab ist festzuhalten, dass zwischen der letzten materiellen Prüfung des Leistungsanspruchs (Verfügung vom 26. März 2018) und der Neuanmeldung vom März 2020 fast zwei Jahre vergangen sind, weshalb für die Glaubhaftmachung keine allzu hohen Anforderungen gelten (vgl. BGE 130 V 64 E. 6.2; Urteil 9C_57/2021 vom 8. Juli 2021 E. 4.2 mit Hinweisen; MEYER/REICHMUTH, a.a.O., Rz. 119 zu Art. 30-31 IVG ). Indem die Vorinstanz Anhaltspunkte für die vorgebrachte Verschlechterung hätte genügen lassen (vgl. dazu SVR 2016 IV Nr. 57 S. 188, 9C_367/2016 E. 2.2 mit Hinweisen), hat sie kein zu hohes Beweismass angesetzt und kein Bundesrecht verletzt. Ebenso wenig ist es offensichtlich unrichtig oder sonst wie bundesrechtswidrig, dass das kantonale Gericht einen veränderten Gesundheitszustand als nicht glaubhaft dargelegt erachtete, fehlte es doch an der dafür erforderlichen veränderten Befundlage (vgl. dazu SVR 2012 IV Nr. 18 S. 81, 9C_418/2010 E. 4.1 und 4.2; Urteil 9C_135/2021 vom 27. April 2021 E. 2.1 mit weiteren Hinweisen). Soweit die Beschwerdeführerin damit hinsichtlich der psychischen Verhältnisse nicht einverstanden ist und darauf hinweist, dass die Agoraphobie und die leichte depressive Störung neu als (eigenständige) Diagnosen aufgelistet wurden, ist ihr zu entgegnen, dass eine derartige unterschiedliche diagnostische Einordnung nicht genügt, ändert sie doch nichts daran, dass es keine Anhaltspunkte dafür gibt, dass sich der Gesundheitszustand der Beschwerdeführerin richtungsweisend im Sinne einer Minderung ihrer Leistungsfähigkeit verschlechtert hätte.</w:t>
      </w:r>
    </w:p>
    <w:p>
      <w:r>
        <w:rPr>
          <w:b/>
        </w:rPr>
        <w:t>E. 5.3</w:t>
      </w:r>
    </w:p>
    <w:p>
      <w:r>
        <w:t>In der Beschwerde wird schliesslich der Standpunkt vertreten, die IV-Stelle wäre auch deshalb zum Eintreten auf die Neuanmeldung verpflichtet gewesen, weil sie als Folge der mit BGE 145 V 215 eingeführten neuen Sucht-Rechtsprechung unter dem Titel einer Änderung der Rechtslage eine Neubeurteilung der (noch unter der alten Rechtsprechung ergangenen) Verfügung vom 26. März 2018 hätte vornehmen müssen.</w:t>
      </w:r>
    </w:p>
    <w:p>
      <w:r>
        <w:t>Dieser Auffassung kann nicht gefolgt werden. Wie das Bundesgericht unlängst entschieden hat, bildet die Rechtsprechung gemäss BGE 145 V 215 keinen hinreichenden Anlass, um vom Grundsatz der Nichtanpassung eines formell rechtskräftigen Verwaltungsentscheides an eine geänderte Rechtspraxis abzuweichen und auf eine unter dem Geltungsbereich der neuen Rechtsprechung erfolgte Neuanmeldung einzutreten (zur Publikation bestimmtes Urteil 9C_132/2020 vom 7. Juni 2021 E. 5 f.; Urteil 9C_629/2020 vom 6. Juli 2021 E. 5.2).</w:t>
      </w:r>
    </w:p>
    <w:p>
      <w:r>
        <w:rPr>
          <w:b/>
        </w:rPr>
        <w:t>E. 5.4</w:t>
      </w:r>
    </w:p>
    <w:p>
      <w:r>
        <w:t>Zusammenfassend ergibt sich, dass der vorinstanzliche Entscheid, wonach die IV-Stelle zu Recht nicht auf die Neuanmeldung eintrat, bundesrechtskonform ist.</w:t>
      </w:r>
    </w:p>
    <w:p>
      <w:r>
        <w:rPr>
          <w:b/>
        </w:rPr>
        <w:t>E. 6</w:t>
      </w:r>
    </w:p>
    <w:p>
      <w:r>
        <w:t>Ausgangsgemäss wird die Beschwerdeführerin grundsätzlich kostenpflichtig ( Art. 66 Abs. 1 BGG ). Ihrem Gesuch um unentgeltliche Rechtspflege (im Sinne der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