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151/2010 vom 11. Oktober 2010</w:t>
      </w:r>
    </w:p>
    <w:p>
      <w:r>
        <w:t>Bundesgericht, 2010-10-11, FR</w:t>
      </w:r>
    </w:p>
    <w:p>
      <w:r>
        <w:rPr>
          <w:b/>
        </w:rPr>
        <w:t xml:space="preserve">Quelle: </w:t>
      </w:r>
      <w:r>
        <w:t>https://mcp.opencaselaw.ch/entscheid/bger_9C_151_2010</w:t>
      </w:r>
    </w:p>
    <w:p>
      <w:r>
        <w:t>FR: TF 9C 151/2010 du 11 octobre 2010</w:t>
      </w:r>
    </w:p>
    <w:p>
      <w:r>
        <w:t>IT: TF 9C 151/2010 del 11 ottobre 2010</w:t>
      </w:r>
    </w:p>
    <w:p>
      <w:pPr>
        <w:pStyle w:val="Heading2"/>
      </w:pPr>
      <w:r>
        <w:t>Regeste</w:t>
      </w:r>
    </w:p>
    <w:p>
      <w:r>
        <w:t>Assurance-maladie | Assurance-maladie</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en violation du droit au sens de l' art. 95 LTF ou de façon manifestement inexacte et si la correction du vice est susceptible d'influer sur le sort de la cause ( art. 97 al. 1 LTF ).</w:t>
      </w:r>
    </w:p>
    <w:p>
      <w:r>
        <w:rPr>
          <w:b/>
        </w:rPr>
        <w:t>E. 2</w:t>
      </w:r>
    </w:p>
    <w:p>
      <w:r>
        <w:t>Le recourant reproche fondamentalement à la juridiction cantonale d'avoir estimé que l'urgence n'avait duré que 48 heures et que, passé ce délai, il aurait pu être transféré vers un hôpital du canton de résidence. Il soutient d'abord que son droit d'être entendu a été violé dans la mesure où il n'a pas été interpellé sur la question de la durée du cas d'urgence, que cette question sort ensuite du cadre fixé par le Tribunal fédéral, qui retournait la cause aux premiers juges pour qu'ils motivent le jugement et non pour qu'ils adoptent une solution défavorable à l'assuré, et que la thèse de l'urgence momentanée relève d'une appréciation arbitraire du dossier médical et constitue une violation du droit fédéral.</w:t>
      </w:r>
    </w:p>
    <w:p>
      <w:r>
        <w:rPr>
          <w:b/>
        </w:rPr>
        <w:t>E. 3</w:t>
      </w:r>
    </w:p>
    <w:p>
      <w:r>
        <w:t>Contrairement à ce que soutient le recourant dans ses deux premiers griefs, le jugement entrepris ne viole pas son droit d'être entendu ni ne constitue une reformatio in pejus. L' art. 61 LPGA - qui a repris l' art. 85 al. 2 let . d LAVS, abrogé lors de l'entrée en vigueur de la LPGA, et formalisé la jurisprudence du Tribunal fédéral des assurances concernant le respect du droit d'être entendu dans l'éventualité d'une reformatio in pejus (cf. ATF 122 V 166 consid. 2 p. 167 sv.; arrêt C 259/03 du 13 février 2004 in RJB 140/2004 p. 752 consid. 2) - laisse au droit cantonal le soin de régler la procédure devant le tribunal cantonal des assurances; il précise néanmoins que celui-ci n'est pas lié par les conclusions des parties et qu'il peut par conséquent réformer la décision entreprise au détriment du recourant ou lui accorder plus qu'il n'avait demandé, à condition de donner aux parties la possibilité de s'exprimer ou de retirer le recours (let. d). Le fait pour les premiers juges de n'avoir conféré dans le jugement du 25 novembre 2009 le caractère d'urgence qu'aux premières heures d'hospitalisation avec les conséquences sur la prise en charge et le remboursement des frais que cela entraîne ne contrevient nullement à la disposition légale mentionnée. A cet égard, on relèvera, d'une part, que les principes régissant la reformatio in pejus ne sont applicables qu'aux décisions litigieuses et non au jugement du 8 mai 2008 qui n'existe d'ailleurs plus puisqu'il a été entièrement annulé par le Tribunal fédéral et, d'autre part, que la Cour de céans ne saurait avoir entériné la moindre constatation de fait ou considération juridique du jugement annulé dans la mesure où elle a retourné le dossier à la juridiction cantonale au seul motif que la motivation insuffisante, voire inexistante, ne lui permettait pas d'exercer son contrôle. On relèvera également que l'assuré a eu la possibilité d'exprimer son point de vue à de nombreuses reprises et qu'il a alors clairement indiqué que le caractère d'urgence - nié par l'autorité administrative intimée - s'étendait selon lui à toute la période d'hospitalisation. Dans ces circonstances, il n'était pas nécessaire de l'inviter à se déterminer sur une éventuelle solution intermédiaire qui ne constitue de toute façon pas une reformatio in pejus de la décision du SSP, ni de celle de la caisse intimée découlant automatiquement de la première.</w:t>
      </w:r>
    </w:p>
    <w:p>
      <w:r>
        <w:rPr>
          <w:b/>
        </w:rPr>
        <w:t>E. 4</w:t>
      </w:r>
    </w:p>
    <w:p>
      <w:r>
        <w:t>Conformément à ce que soutient le recourant dans son ultime grief, le jugement attaqué repose effectivement sur une appréciation arbitraire des pièces médicales (sur cette notion, cf. ATF 135 V 2 consid. 1.3 p. 4 sv.; 129 I 8 consid. 2.1 p. 9). En l'occurrence, les premiers juges ont considéré que l'assuré aurait très vraisemblablement pu être transféré dans un hôpital du canton de résidence après 48 heures d'hospitalisation - reconnaissant ainsi que le caractère d'urgence était réalisé pour cette période - dès lors que son état de santé avait favorablement évolué grâce au traitement antibiotique instauré. Leur conclusion repose sur les renseignements produits par les docteurs S.________, G.________ et K.________ dans la requête de garantie de paiement du 21 août 2006, ainsi que les rapports d'hospitalisation du 30 août 2006 et complémentaire du 29 mars 2007. Si l'urgence dure effectivement tant qu'un rapatriement dans le canton de résidence ne peut être exigé (Gebhard Eugster, Krankenversicherung, in: Soziale Sicherheit, SBVR, 2e édition, n° 964 p. 724), rien dans les actes mentionnés ni aucun autre figurant au dossier n'établit ni même ne suggère que l'urgence a cessé après 48 heures. Certes, les docteurs G.________ et K.________ mentionnent une excellente évolution mais cela ne permet pas de déterminer si et quand l'urgence a concrètement pris fin, d'autant moins que ces considérations ne tiennent pas compte de l'influence de l'infection diagnostiquée sur d'autres affections (flutter auriculaire), comme l'indiquait expressément le docteur G.________. Le médecin cantonal contresigne également certaines écritures de l'autorité administrative intimée mais n'y fait aucune remarque qui permettrait d'étayer la solution retenue par la juridiction cantonale. Il apparaît dès lors que la conclusion à laquelle sont parvenus les premiers juges constitue une appréciation que, faute d'avis médical abordant clairement ce point, ils ne pouvaient pas substituer à celle des médecins (sur le rôle des ceux-ci en matière d'assurance-invalidité appliqué par analogie à l'assurance maladie cf. ATF 125 V 256 consid. 4 p. 261). Dans ces circonstances, il convient d'annuler l'acte attaqué en tant qu'il porte sur la période postérieure au 23 août 2006, seule encore litigieuse, et de renvoyer la cause à la juridiction cantonale afin qu'elle complète l'instruction en fonction de ce qui précède et rende un nouveau jugement. Dans leur jugement à venir les premiers juges préciseront mieux les parts respectives à charge de la caisse et du SSP de la facture globale de l'hospitalisation du recourant, celle-ci s'étant déroulée successivement en division semi-privée puis privée et celui-là n'étant pas au bénéfice d'une telle couverture.</w:t>
      </w:r>
    </w:p>
    <w:p>
      <w:r>
        <w:rPr>
          <w:b/>
        </w:rPr>
        <w:t>E. 5</w:t>
      </w:r>
    </w:p>
    <w:p>
      <w:r>
        <w:t>Vu l'issue du litige, les frais judiciaires sont mis à la charge de l'autorité administrative intimée dès lors que la caisse intimée n'a jamais pris de conclusions formelles, se contentant d'indiquer que sa décision dépendait de celle du SSP ( art. 66 al. 1 LTF ). L'assuré a droit à des dépens à charge de l'autorité administrative intimée pour les mêmes motifs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