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9C_150/2024 vom 16. Mai 2024</w:t>
      </w:r>
    </w:p>
    <w:p>
      <w:r>
        <w:t>Bundesgericht, 2024-05-16, FR</w:t>
      </w:r>
    </w:p>
    <w:p>
      <w:r>
        <w:rPr>
          <w:b/>
        </w:rPr>
        <w:t xml:space="preserve">Quelle: </w:t>
      </w:r>
      <w:r>
        <w:t>https://mcp.opencaselaw.ch/entscheid/bger_9C_150_2024</w:t>
      </w:r>
    </w:p>
    <w:p>
      <w:r>
        <w:t>FR: TF 9C_150/2024 du 16 mai 2024</w:t>
      </w:r>
    </w:p>
    <w:p>
      <w:r>
        <w:t>IT: TF 9C_150/2024 del 16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9C_150/2024</w:t>
      </w:r>
    </w:p>
    <w:p>
      <w:r>
        <w:t>Arrêt du 16 mai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cantonal du Valais, Cour des assurances sociales, rue Mathieu Schiner 1, 1950 Sion,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la décision du Tribunal cantonal du Valais du 29 janvier 2024 (S3 23 62).</w:t>
      </w:r>
    </w:p>
    <w:p>
      <w:r>
        <w:t>Vu :</w:t>
      </w:r>
    </w:p>
    <w:p>
      <w:r>
        <w:t>le recours du 1er mars 2024 formé par A.________ contre la décision de la Cour des assurances sociales du Tribunal cantonal du Valais du 29 janvier 2024,</w:t>
      </w:r>
    </w:p>
    <w:p>
      <w:r>
        <w:t>l'ordonnance du 26 mars 2024, par laquelle le Tribunal fédéral a rejeté la demande d'assistance judiciaire déposée par A.________ et imparti au prénommé un délai de 14 jours pour verser une avance de frais de 500 fr.,</w:t>
      </w:r>
    </w:p>
    <w:p>
      <w:r>
        <w:t>l'ordonnance du 29 avril 2024, par laquelle le Tribunal fédéral a constaté le défaut de paiement de ladite avance dans le délai imparti et fixé à A.________ un délai non prolongeable au 10 mai 2024 pour verser le montant de l'avance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LTF ,</w:t>
      </w:r>
    </w:p>
    <w:p>
      <w:r>
        <w:t>qu'en application de l'art. 66 al. 1, 2</w:t>
      </w:r>
    </w:p>
    <w:p>
      <w:r>
        <w:t>ème phrase, LTF, il est renoncé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l'Office cantonal AI du Valais et à l'Office fédéral des assurances sociales.</w:t>
      </w:r>
    </w:p>
    <w:p>
      <w:r>
        <w:t>Lucerne, le 16 mai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