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9C_14/2012 vom 29. Oktober 2012</w:t>
      </w:r>
    </w:p>
    <w:p>
      <w:r>
        <w:t>Bundesgericht, 2012-10-29, FR</w:t>
      </w:r>
    </w:p>
    <w:p>
      <w:r>
        <w:rPr>
          <w:b/>
        </w:rPr>
        <w:t xml:space="preserve">Quelle: </w:t>
      </w:r>
      <w:r>
        <w:t>https://mcp.opencaselaw.ch/entscheid/bger_9C_14_2012</w:t>
      </w:r>
    </w:p>
    <w:p>
      <w:r>
        <w:t>FR: TF 9C_14/2012 du 29 octobre 2012</w:t>
      </w:r>
    </w:p>
    <w:p>
      <w:r>
        <w:t>IT: TF 9C_14/2012 del 29 ottobre 2012</w:t>
      </w:r>
    </w:p>
    <w:p>
      <w:pPr>
        <w:pStyle w:val="Heading2"/>
      </w:pPr>
      <w:r>
        <w:t>Erwägungen</w:t>
      </w:r>
    </w:p>
    <w:p>
      <w:r>
        <w:rPr>
          <w:b/>
        </w:rPr>
        <w:t>E. 1</w:t>
      </w:r>
    </w:p>
    <w:p>
      <w:r>
        <w:t>Le jugement attaqué est une décision finale ( art. 90 LTF ) rendue par par la Chambre des assurances sociales de la Cour de justice de la République et canton de Genève. Cette autorité connaît en instance unique (art. 134 al. 1 let. a ch. 4 et let. c LOJ-GE, RS E 2 05) aussi bien des contestations relatives à la LAMal (cf. art. 57 LPGA ), que des contestations en matière d'assurances complémentaires à l'assurance-maladie sociale prévue par la LAMal, relevant de la LCA (cf. art. 7 CPC ).</w:t>
      </w:r>
    </w:p>
    <w:p>
      <w:r>
        <w:rPr>
          <w:b/>
        </w:rPr>
        <w:t>E. 2</w:t>
      </w:r>
    </w:p>
    <w:p>
      <w:r>
        <w:t>Devant le Tribunal fédéral, le litige ne porte que sur le droit de A.________ d'exiger de l'intimée le remboursement, entre ses mains, de cotisations le concernant que son épouse avait payées à tort et dont elle avait obtenu la restitution par l'intimée.</w:t>
      </w:r>
    </w:p>
    <w:p>
      <w:r>
        <w:t>En bref, la juridiction cantonale a nié à A.________ le droit d'obtenir un second remboursement de ses cotisations, au motif qu'il lui appartenait de s'entendre à cet égard avec son épouse.</w:t>
      </w:r>
    </w:p>
    <w:p>
      <w:r>
        <w:rPr>
          <w:b/>
        </w:rPr>
        <w:t>E. 3</w:t>
      </w:r>
    </w:p>
    <w:p>
      <w:r>
        <w:t>Les recourants soutiennent que l'intimée n'était pas en droit de rembourser à l'épouse des primes que l'époux avait versées en trop, car les montants en cause se rapportaient à des relations contractuelles différentes. Ils allèguent qu'une assurance-maladie ne peut pas se libérer valablement d'une dette envers l'un des époux en effectuant un virement sur le compte privé de l'autre époux, en l'absence d'une cession de créance, si bien que l'intimée doit restituer les cinq mois de primes à A.________.</w:t>
      </w:r>
    </w:p>
    <w:p>
      <w:r>
        <w:rPr>
          <w:b/>
        </w:rPr>
        <w:t>E. 4</w:t>
      </w:r>
    </w:p>
    <w:p>
      <w:r>
        <w:t>Bien qu'il soit motivé de manière sommaire, le jugement attaqué est néanmoins conforme au droit fédéral, car il procède d'une application correcte des règles relatives aux effets généraux du mariage, singulièrement des art. 163 al. 1, 166 al. 1 et 3 CC.</w:t>
      </w:r>
    </w:p>
    <w:p>
      <w:r>
        <w:t>Les charges d'entretien, au sens de l' art. 163 al. 1 CC , comprennent notamment l'assurance-maladie et accidents obligatoire, le cas échéant aussi les assurances qui vont au-delà du seuil légal minimal (DESCHENAUX / STEINAUER / BADDELEY, Les effets du mariage, 2e ed., Berne 2009, n. 420; HAUSHEER / BRUNNER, Familienunterhalt, in Handbuch des Unterhaltsrechts, 2e éd., Berne 2010, n. 03.89 et sv.). Par ailleurs, en vertu de l' art. 166 al. 1 et 3 CC , un époux répond solidairement des dettes de cotisations de son conjoint, que le rapport d'assurance, dont découle la créance de cotisations, ait été créé pendant la vie commune ou pour satisfaire des besoins courants de la famille ( ATF 129 V 90 consid. 2 et 3.1; arrêt K 114/03 du 22 juillet 2005, in SVR 2006 KV n° 11 p. 32). Le but de l' art. 166 al. 3 CC , à teneur duquel chaque époux s'oblige personnellement par ses actes et oblige solidairement son conjoint en tant qu'il n'excède pas ses pouvoirs d'une manière reconnaissable pour les tiers, est notamment de simplifier la procédure d'exécution forcée, en dispensant le créancier de pénibles démarches de recouvrement (voir HASENBÖHLER, Kommentar zum schweizerischen Privatrecht, Schweizerisches Zivilgesetzbuch I, n° 64 ad art. 166 p. 295; arrêt K 63/05 du 26 juin 2006 consid. 9). On précisera que l' art. 166 CC ne concerne que les rapports des époux avec les tiers et est indépendant du régime matrimonial des époux; il ne désigne pas celui des époux qui, dans les rapports internes, supporte la dette (DESCHENAUX / STEINAUER / BADDELEY, op. cit., n. 376).</w:t>
      </w:r>
    </w:p>
    <w:p>
      <w:r>
        <w:t>En raison de la solidarité existant entre les époux recourants pour leurs primes d'assurance-maladie, l'intimée pouvait valablement rembourser à B.________ les primes perçues à tort qui concernaient A.________, nonobstant l'absence d'une cession de créance et l'existence de contrats d'assurance distincts entre elle-même et ses deux assurés. Comme la juridiction cantonale l'a rappelé, il incombe aux recourants de s'entendre sur la rétrocession des sommes reçues. Les moyens soulevés étant dénués de pertinence, voire à la limite de la témérité, le recours en matière de droit public se révèle mal fondé.</w:t>
      </w:r>
    </w:p>
    <w:p>
      <w:r>
        <w:rPr>
          <w:b/>
        </w:rPr>
        <w:t>E. 5</w:t>
      </w:r>
    </w:p>
    <w:p>
      <w:r>
        <w:t>Les recourants, qui succombent, supporteront les frais de la procédure ( art. 66 al. 1 LTF ), à parts égales, solidairement entre eux (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