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14/2009 vom 29. Oktober 2009</w:t>
      </w:r>
    </w:p>
    <w:p>
      <w:r>
        <w:t>Bundesgericht, 2009-10-29, DE</w:t>
      </w:r>
    </w:p>
    <w:p>
      <w:r>
        <w:rPr>
          <w:b/>
        </w:rPr>
        <w:t xml:space="preserve">Quelle: </w:t>
      </w:r>
      <w:r>
        <w:t>https://mcp.opencaselaw.ch/entscheid/bger_9C_14_2009</w:t>
      </w:r>
    </w:p>
    <w:p>
      <w:r>
        <w:t>FR: TF 9C 14/2009 du 29 octobre 2009</w:t>
      </w:r>
    </w:p>
    <w:p>
      <w:r>
        <w:t>IT: TF 9C 14/2009 del 29 ottobre 2009</w:t>
      </w:r>
    </w:p>
    <w:p>
      <w:pPr>
        <w:pStyle w:val="Heading2"/>
      </w:pPr>
      <w:r>
        <w:t>Regeste</w:t>
      </w:r>
    </w:p>
    <w:p>
      <w:r>
        <w:t>Berufliche Vorsorge | Berufliche Vorsorge</w:t>
      </w:r>
    </w:p>
    <w:p>
      <w:pPr>
        <w:pStyle w:val="Heading2"/>
      </w:pPr>
      <w:r>
        <w:t>Erwägungen</w:t>
      </w:r>
    </w:p>
    <w:p>
      <w:r>
        <w:rPr>
          <w:b/>
        </w:rPr>
        <w:t>E. 1</w:t>
      </w:r>
    </w:p>
    <w:p>
      <w:r>
        <w:t>Der kantonale Entscheid wird nur insoweit angefochten, als die Pensionskasse der Hewlett-Packard Gesellschaften in der Schweiz darin verpflichtet wird, der Beschwerdegegnerin die Hälfte des X.________ am 15. Dezember 1995 bar ausbezahlten Betrages von Fr. 44'029.90 - mithin Fr. 22'014.95 - zu überweisen.</w:t>
      </w:r>
    </w:p>
    <w:p>
      <w:r>
        <w:rPr>
          <w:b/>
        </w:rPr>
        <w:t>E. 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2.2</w:t>
      </w:r>
    </w:p>
    <w:p>
      <w:r>
        <w:t>Nach den verbindlichen Feststellungen im angefochtenen Entscheid ( Art. 105 Abs. 2 BGG ) ist die Pensionskasse der Hewlett-Packard Gesellschaften in der Schweiz zwar von der Vorinstanz zur Vernehmlassung eingeladen worden, hat aber von der ihr eingeräumten Gelegenheit zur Stellungnahme keinen Gebrauch gemacht. Die Beschwerdeführerin bestreitet denn auch nicht, dass sie am vorinstanzlichen Verfahren nicht teilgenommen hat. Zu Recht macht sie auch nicht etwa geltend, im kantonalen Verfahren keine Möglichkeit zur Teilnahme erhalten zu haben, weil das Obergericht die Aufforderung zur Vernehmlassung vom 23. Juni 2008 nicht an sie, sondern an die Arbeitgeberin B._________ "...", gerichtet hat. Denn mit diesem Einwand würde die Pensionskasse schon deshalb nicht durchdringen, weil sie als Domizil selbst "..." angibt, es sich bei B._________ um den Geschäftsführer der Vorsorgeeinrichtung handelt und im Schreiben vom 23. Juni 2008 ausdrücklich "die Pensionskasse der Hewlett-Packard GmbH" als betroffener Versicherungsträger zur Vernehmlassung aufgefordert worden ist, so dass sich die Pensionskasse - trotz der formell nicht korrekten Anschrift - der Teilnahmemöglichkeit gewahr sein musste. Bei dieser Sachlage erfüllt die Beschwerdeführerin die Eintretensvoraussetzung der formellen Beschwer gemäss Art. 89 Abs. 1 lit. a BGG nicht, weshalb auf ihr Rechtsmittel nicht eingetreten werden kann.</w:t>
      </w:r>
    </w:p>
    <w:p>
      <w:r>
        <w:rPr>
          <w:b/>
        </w:rPr>
        <w:t>E. 3</w:t>
      </w:r>
    </w:p>
    <w:p>
      <w:r>
        <w:t>Dem Verfahrensausgang entsprechend hat die Pensionskasse der Hewlett-Packard Gesellschaften in der Schweiz die Gerichtskosten zu tragen ( Art. 66 Abs. 1 BGG ). Die Ausnahmeregelung von Art. 66 Abs. 4 BGG ist nicht anwendbar, da die Vorsorgeeinrichtung in ihrem Vermögensinteresse handelt (vgl. Urteil 8C_67/2007 vom 25. September 2007 E. 6, 9C_101/2007 vom 12. Juni 2007 E. 4; vgl. auch BGE 133 V 640 E. 4.5 S. 641 f.). Der obsiegenden, anwaltlich vertretenen Beschwerdegegnerin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