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9C_149/2019 vom 1. März 2019</w:t>
      </w:r>
    </w:p>
    <w:p>
      <w:r>
        <w:t>Bundesgericht, 2019-03-01, DE</w:t>
      </w:r>
    </w:p>
    <w:p>
      <w:r>
        <w:rPr>
          <w:b/>
        </w:rPr>
        <w:t xml:space="preserve">Quelle: </w:t>
      </w:r>
      <w:r>
        <w:t>https://mcp.opencaselaw.ch/entscheid/bger_9C_149_2019</w:t>
      </w:r>
    </w:p>
    <w:p>
      <w:r>
        <w:t>FR: TF 9C_149/2019 du 1 mars 2019</w:t>
      </w:r>
    </w:p>
    <w:p>
      <w:r>
        <w:t>IT: TF 9C_149/2019 del 1 marzo 2019</w:t>
      </w:r>
    </w:p>
    <w:p>
      <w:pPr>
        <w:pStyle w:val="Heading2"/>
      </w:pPr>
      <w:r>
        <w:t>Volltext</w:t>
      </w:r>
    </w:p>
    <w:p>
      <w:r>
        <w:t>Bundesgericht</w:t>
      </w:r>
    </w:p>
    <w:p>
      <w:r>
        <w:t>Tribunal fédéral</w:t>
      </w:r>
    </w:p>
    <w:p>
      <w:r>
        <w:t>Tribunale federale</w:t>
      </w:r>
    </w:p>
    <w:p>
      <w:r>
        <w:t>Tribunal federal</w:t>
      </w:r>
    </w:p>
    <w:p>
      <w:r>
        <w:t>9C_149/2019</w:t>
      </w:r>
    </w:p>
    <w:p>
      <w:r>
        <w:t>Urteil vom 1. März 2019</w:t>
      </w:r>
    </w:p>
    <w:p>
      <w:r>
        <w:t>II. sozialrechtliche Abteilung</w:t>
      </w:r>
    </w:p>
    <w:p>
      <w:r>
        <w:t>Besetzung</w:t>
      </w:r>
    </w:p>
    <w:p>
      <w:r>
        <w:t>Bundesrichter Meyer, als Einzelrichter,</w:t>
      </w:r>
    </w:p>
    <w:p>
      <w:r>
        <w:t>Gerichtsschreiber Williner.</w:t>
      </w:r>
    </w:p>
    <w:p>
      <w:r>
        <w:t>Verfahrensbeteiligte</w:t>
      </w:r>
    </w:p>
    <w:p>
      <w:r>
        <w:t>A.________ (verstorben am 29.5.2018),</w:t>
      </w:r>
    </w:p>
    <w:p>
      <w:r>
        <w:t>handelnd durch seine Witwe,</w:t>
      </w:r>
    </w:p>
    <w:p>
      <w:r>
        <w:t>Beschwerdeführer,</w:t>
      </w:r>
    </w:p>
    <w:p>
      <w:r>
        <w:t>gegen</w:t>
      </w:r>
    </w:p>
    <w:p>
      <w:r>
        <w:t>Ausgleichskasse Schwyz,</w:t>
      </w:r>
    </w:p>
    <w:p>
      <w:r>
        <w:t>Rubiswilstrasse 8, 6438 Ibach,</w:t>
      </w:r>
    </w:p>
    <w:p>
      <w:r>
        <w:t>Beschwerdegegnerin.</w:t>
      </w:r>
    </w:p>
    <w:p>
      <w:r>
        <w:t>Gegenstand</w:t>
      </w:r>
    </w:p>
    <w:p>
      <w:r>
        <w:t>Ergänzungsleistung zur AHV/IV,</w:t>
      </w:r>
    </w:p>
    <w:p>
      <w:r>
        <w:t>Beschwerde gegen den Entscheid des Verwaltungsgerichts des Kantons Schwyz</w:t>
      </w:r>
    </w:p>
    <w:p>
      <w:r>
        <w:t>vom 16. Januar 2019 (II 2018 102).</w:t>
      </w:r>
    </w:p>
    <w:p>
      <w:r>
        <w:t>Nach Einsicht</w:t>
      </w:r>
    </w:p>
    <w:p>
      <w:r>
        <w:t>in die Beschwerde vom 13. Februar 2019 (Poststempel) gegen den Entscheid des Verwaltungsgerichts des Kantons Schwyz vom 16.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133 IV 286 E. 1.4 S. 287), während eine rein appellatorische Kritik nicht genügt (vgl. BGE 136 I 65 E. 1.3.1 S. 68; 134 II 244 E. 2.1 f. S. 245 f.),</w:t>
      </w:r>
    </w:p>
    <w:p>
      <w:r>
        <w:t>dass die Vorinstanz den Nichteintretensentscheid der Beschwerdegegnerin vom 31. Oktober 2018 auf eine am 11. Oktober 2018 erhobene Einsprache gegen die Verfügung vom 27. August 2018 mit der Begründung geschützt hat, die Verwaltung sei zu Recht von einer verspätet erhobenen Einsprache ausgegangen, zudem seien Fristwiederherstellungsgründe im Sinne von Art. 41 ATSG weder (rechtsgenüglich) geltend gemacht worden, noch seien solche ersichtlich,</w:t>
      </w:r>
    </w:p>
    <w:p>
      <w:r>
        <w:t>dass die Eingabe vom 13. Februar 2019 keinen rechtsgenüglichen Antrag enthält,</w:t>
      </w:r>
    </w:p>
    <w:p>
      <w:r>
        <w:t>dass zudem in der Beschwerde mit keinem Wort auf den angefochtenen Entscheid eingegangen wird, und ihr somit auch nicht ansatzweise entnommen werden kann, was darauf hindeutete, dass und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sollten,</w:t>
      </w:r>
    </w:p>
    <w:p>
      <w:r>
        <w:t>dass dies insbesondere gilt in Bezug auf die vorinstanzlichen Erwägungen, wonach der Ferienaufenthalt im Ausland keine Wiederherstellung der versäumten Einsprachefrist rechtfertige,</w:t>
      </w:r>
    </w:p>
    <w:p>
      <w:r>
        <w:t>dass die Eingabe des Beschwerdeführers daher den inhaltlichen Mindestanforderungen an eine Beschwerde offensichtlich nicht genügt,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1. März 2019</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