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9C_149/2012 vom 6. Februar 2013</w:t>
      </w:r>
    </w:p>
    <w:p>
      <w:r>
        <w:t>Bundesgericht, 2013-02-06, DE</w:t>
      </w:r>
    </w:p>
    <w:p>
      <w:r>
        <w:rPr>
          <w:b/>
        </w:rPr>
        <w:t xml:space="preserve">Quelle: </w:t>
      </w:r>
      <w:r>
        <w:t>https://mcp.opencaselaw.ch/entscheid/bger_9C_149_2012</w:t>
      </w:r>
    </w:p>
    <w:p>
      <w:r>
        <w:t>FR: TF 9C_149/2012 du 6 février 2013</w:t>
      </w:r>
    </w:p>
    <w:p>
      <w:r>
        <w:t>IT: TF 9C_149/2012 del 6 febbraio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Unter den Verfahrensbeteiligten darf zu Recht als unbestritten gelten, dass die bisher bezogene Invalidenrente des Beschwerdeführers zufolge der am 1. September 2009 beginnenden Rentenberechtigung seiner Ehefrau (rückwirkend) neu festgesetzt werden muss ( Art. 31 AHVG in Verbindung mit Art. 36 Abs. 2 IVG ) und die zuviel bezogenen Rentenbetreffnisse im (von keiner Seite in Zweifel gezogenen) Gesamtbetrag von Fr. 17'392.- zurückzuerstatten sind (Art. 25 Abs. 1 erster Satz ATSG [SR 830.1]). Streitig und nachfolgend zu prüfen ist hingegen, ob der genannte Rückerstattungsbetrag mit (eigentlich) der Ehefrau nachzuzahlenden Invalidenrenten verrechnet werden darf.</w:t>
      </w:r>
    </w:p>
    <w:p>
      <w:r>
        <w:rPr>
          <w:b/>
        </w:rPr>
        <w:t>E. 3</w:t>
      </w:r>
    </w:p>
    <w:p>
      <w:r>
        <w:t>Im ATSG findet sich keine allgemeine Verrechnungsnorm (vgl. aber Art. 20 Abs. 2 ATSG ). Art. 50 Abs. 2 IVG (in der seit 1. Januar 2003 in Kraft stehenden Fassung) erklärt Art. 20 Abs. 2 AHVG als für die Verrechnung in der Invalidenversicherung sinngemäss anwendbar. Damit statuiert Art. 50 Abs. 2 IVG eine allgemeine Verrechenbarkeit von Beitragsforderungen, Leistungen und Leistungsrückforderungen der AHV und der IV (ULRICH MEYER, Bundesgesetz über die Invalidenversicherung, 2. Aufl. 2010, S. 453). Die zweigintern und zweigübergreifend zulässige Verrechnung von Leistungen und Forderungen kann sich sowohl auf laufende Renten als auch auf Rentennachzahlungen beziehen ( BGE 138 V 402 E. 4.2 S. 405; 136 V 286 E. 4.1 S. 288). Sie darf indessen den nach betreibungsrechtlichen Regeln zu ermittelnden Notbedarf der versicherten Person nicht beeinträchtigen ( BGE 138 V 402 E. 4.2 S. 405; 136 V 286 E. 6.1 S. 291; 131 V 249 E. 1.2 S. 252).</w:t>
      </w:r>
    </w:p>
    <w:p>
      <w:r>
        <w:t>Was die Frage der Identität von Schuldner und Gläubiger der Verwaltung anbelangt, hat die Rechtsprechung im Bereich der Alters- und Hinterlassenenversicherung sowie der Invalidenversicherung eine Verrechnung seit jeher auch in Fällen zugelassen, in denen die versicherte Person nicht gleichzeitig Schuldner und Gläubiger von einander gegenüberstehenden Forderungen ist. Voraussetzung bildet, dass unter versicherungstechnischem oder rechtlichem Blickwinkel eine enge Beziehung zwischen den Verrechnungsforderungen besteht ( BGE 138 V 2 E. 4.1 S. 4; 137 V 175 E. 2.2.1 S. 178; 130 V 505 ).</w:t>
      </w:r>
    </w:p>
    <w:p>
      <w:r>
        <w:rPr>
          <w:b/>
        </w:rPr>
        <w:t>E. 4</w:t>
      </w:r>
    </w:p>
    <w:p>
      <w:r>
        <w:t>Die Rückforderung unrechtmässig bezogener Rentenbetreffnisse gegenüber dem Beschwerdeführer resultiert in erster Linie aus der splittingbedingten Verringerung seines massgebenden durchschnittlichen Jahreseinkommens ( Art. 29quinquies Abs. 3 lit. a AHVG ) und der bei Ehepaaren vorzunehmenden Rentenplafonierung ( Art. 35 AHVG in Verbindung mit Art. 37 Abs. 1bis IVG ). Beide Kriterien (Einkommenssplitting und Plafonierung), welche zu einer rückwirkenden Herabsetzung der vom Beschwerdeführer vormals bezogenen Rente führten, waren notwendigerweise mit der rückwirkend zugesprochenen - zur Verrechnung herangezogenen - Invalidenrente seiner Ehefrau verbunden. Unter diesen Umständen bejaht die Rechtsprechung die erforderliche, versicherungstechnisch oder rechtlich enge Beziehung zwischen den zu verrechnenden Forderungen ohne weiteres ( BGE 137 V 175 E. 2.2.1 S. 178; Urteil 9C_682/2010 vom 29. April 2011 E. 3.1). An dieser Betrachtungsweise ändert nichts, dass ein Teil (rund 17 %) der hier zur Verrechnung gebrachten Rückforderung auf die Korrektur des seinerzeit im Zusammenhang mit der Anrechnung türkischer Versicherungszeiten unterlaufenen Versehens zurückzuführen ist.</w:t>
      </w:r>
    </w:p>
    <w:p>
      <w:r>
        <w:t>Nach dem Gesagten steht der verfügten, vorinstanzlich bestätigten Verrechnung nichts entgegen, zumal das kantonale Gericht wirtschaftliche Verhältnisse festgestellt hat, welche eine Beeinträchtigung des Notbedarfs ausschliessen.</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