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9C_148/2017 vom 22. Februar 2018</w:t>
      </w:r>
    </w:p>
    <w:p>
      <w:r>
        <w:t>Bundesgericht, 2018-02-22, DE</w:t>
      </w:r>
    </w:p>
    <w:p>
      <w:r>
        <w:rPr>
          <w:b/>
        </w:rPr>
        <w:t xml:space="preserve">Quelle: </w:t>
      </w:r>
      <w:r>
        <w:t>https://mcp.opencaselaw.ch/entscheid/bger_9C_148_2017</w:t>
      </w:r>
    </w:p>
    <w:p>
      <w:r>
        <w:t>FR: TF 9C_148/2017 du 22 février 2018</w:t>
      </w:r>
    </w:p>
    <w:p>
      <w:r>
        <w:t>IT: TF 9C_148/2017 del 22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dem Urteil in der Hauptsache wird der vorinstanzliche Entscheid integral aufgehoben und die Sache zum neuen Entscheid an die Vorinstanz zurückgewiesen (vgl. Dispositiv Ziffer 1 des Urteils 9C_147/2017 vom 20. Februar 2018). Damit ist die Beschwerde des Rechtsvertreters gegenstandslos.</w:t>
      </w:r>
    </w:p>
    <w:p>
      <w:r>
        <w:rPr>
          <w:b/>
        </w:rPr>
        <w:t>E. 2</w:t>
      </w:r>
    </w:p>
    <w:p>
      <w:r>
        <w:t>Gemäss Art. 66 Abs. 1 Satz 2 ist umständehalber auf die Erhebung von Gerichtskosten zu verzichten.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